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jc w:val="center"/>
        <w:rPr>
          <w:rFonts w:eastAsia="方正小标宋_GBK"/>
          <w:sz w:val="52"/>
          <w:szCs w:val="52"/>
        </w:rPr>
      </w:pPr>
      <w:r>
        <w:rPr>
          <w:rFonts w:eastAsia="方正小标宋_GBK"/>
          <w:sz w:val="52"/>
          <w:szCs w:val="52"/>
        </w:rPr>
        <w:t>2021年度</w:t>
      </w:r>
      <w:r>
        <w:rPr>
          <w:rFonts w:hint="eastAsia" w:eastAsia="方正小标宋_GBK"/>
          <w:sz w:val="52"/>
          <w:szCs w:val="52"/>
          <w:lang w:eastAsia="zh-CN"/>
        </w:rPr>
        <w:t>桃花源区中心医院</w:t>
      </w:r>
      <w:r>
        <w:rPr>
          <w:rFonts w:eastAsia="方正小标宋_GBK"/>
          <w:sz w:val="52"/>
          <w:szCs w:val="52"/>
        </w:rPr>
        <w:t>整</w:t>
      </w:r>
      <w:r>
        <w:rPr>
          <w:rFonts w:hint="eastAsia" w:eastAsia="方正小标宋_GBK"/>
          <w:sz w:val="52"/>
          <w:szCs w:val="52"/>
          <w:lang w:eastAsia="zh-CN"/>
        </w:rPr>
        <w:t>体</w:t>
      </w:r>
      <w:r>
        <w:rPr>
          <w:rFonts w:hint="eastAsia" w:eastAsia="方正小标宋_GBK"/>
          <w:sz w:val="52"/>
          <w:szCs w:val="52"/>
          <w:lang w:val="en-US" w:eastAsia="zh-CN"/>
        </w:rPr>
        <w:t xml:space="preserve">   </w:t>
      </w:r>
      <w:r>
        <w:rPr>
          <w:rFonts w:eastAsia="方正小标宋_GBK"/>
          <w:sz w:val="52"/>
          <w:szCs w:val="52"/>
        </w:rPr>
        <w:t>支出绩效自评报告</w:t>
      </w:r>
    </w:p>
    <w:p>
      <w:pPr>
        <w:jc w:val="center"/>
        <w:rPr>
          <w:rFonts w:eastAsia="方正小标宋_GBK"/>
          <w:b/>
          <w:sz w:val="52"/>
          <w:szCs w:val="52"/>
        </w:rPr>
      </w:pP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一、部门基本概况</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（一）职能职责</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坚持以群众保健工作为基础，面向基层，预防为主，为群众提供健康教育，预防保健等公共卫生服务；在切实履行公共卫生职责的同时，开展基本医疗服务等。</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（二）机构基本情况（及所属事业单位）</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i w:val="0"/>
          <w:iCs w:val="0"/>
          <w:caps w:val="0"/>
          <w:color w:val="000000"/>
          <w:spacing w:val="0"/>
          <w:sz w:val="28"/>
          <w:szCs w:val="28"/>
        </w:rPr>
      </w:pPr>
      <w:r>
        <w:rPr>
          <w:rFonts w:hint="eastAsia" w:ascii="仿宋" w:hAnsi="仿宋" w:eastAsia="仿宋" w:cs="仿宋"/>
          <w:sz w:val="28"/>
          <w:szCs w:val="28"/>
          <w:lang w:eastAsia="zh-CN"/>
        </w:rPr>
        <w:t>桃花源中心医</w:t>
      </w:r>
      <w:r>
        <w:rPr>
          <w:rFonts w:hint="eastAsia" w:ascii="仿宋" w:hAnsi="仿宋" w:eastAsia="仿宋" w:cs="仿宋"/>
          <w:sz w:val="28"/>
          <w:szCs w:val="28"/>
        </w:rPr>
        <w:t>院坚持以群众保健工作为基础，面向基层，预防为主，为群众提供健康教育，预防保健等公共卫生服务；在切实履行公共卫生职责的同时，开展基本医疗服务等。</w:t>
      </w:r>
      <w:r>
        <w:rPr>
          <w:rFonts w:hint="eastAsia" w:ascii="仿宋" w:hAnsi="仿宋" w:eastAsia="仿宋" w:cs="仿宋"/>
          <w:i w:val="0"/>
          <w:iCs w:val="0"/>
          <w:caps w:val="0"/>
          <w:color w:val="000000"/>
          <w:spacing w:val="0"/>
          <w:sz w:val="28"/>
          <w:szCs w:val="28"/>
          <w:shd w:val="clear" w:fill="FFFFFF"/>
        </w:rPr>
        <w:t>是集医疗</w:t>
      </w:r>
      <w:r>
        <w:rPr>
          <w:rFonts w:hint="eastAsia" w:ascii="仿宋" w:hAnsi="仿宋" w:eastAsia="仿宋" w:cs="仿宋"/>
          <w:i w:val="0"/>
          <w:iCs w:val="0"/>
          <w:caps w:val="0"/>
          <w:color w:val="000000"/>
          <w:spacing w:val="0"/>
          <w:sz w:val="28"/>
          <w:szCs w:val="28"/>
          <w:shd w:val="clear" w:fill="FFFFFF"/>
          <w:lang w:eastAsia="zh-CN"/>
        </w:rPr>
        <w:t>，</w:t>
      </w:r>
      <w:r>
        <w:rPr>
          <w:rFonts w:hint="eastAsia" w:ascii="仿宋" w:hAnsi="仿宋" w:eastAsia="仿宋" w:cs="仿宋"/>
          <w:i w:val="0"/>
          <w:iCs w:val="0"/>
          <w:caps w:val="0"/>
          <w:color w:val="000000"/>
          <w:spacing w:val="0"/>
          <w:sz w:val="28"/>
          <w:szCs w:val="28"/>
          <w:shd w:val="clear" w:fill="FFFFFF"/>
        </w:rPr>
        <w:t>教学、预防保健于一体的综合性医院，属财政差额拨款的事业单位。医院占地</w:t>
      </w:r>
      <w:r>
        <w:rPr>
          <w:rFonts w:hint="eastAsia" w:ascii="仿宋" w:hAnsi="仿宋" w:eastAsia="仿宋" w:cs="仿宋"/>
          <w:i w:val="0"/>
          <w:iCs w:val="0"/>
          <w:caps w:val="0"/>
          <w:color w:val="000000"/>
          <w:spacing w:val="0"/>
          <w:sz w:val="28"/>
          <w:szCs w:val="28"/>
          <w:shd w:val="clear" w:fill="FFFFFF"/>
          <w:lang w:val="en-US" w:eastAsia="zh-CN"/>
        </w:rPr>
        <w:t>870</w:t>
      </w:r>
      <w:r>
        <w:rPr>
          <w:rFonts w:hint="eastAsia" w:ascii="仿宋" w:hAnsi="仿宋" w:eastAsia="仿宋" w:cs="仿宋"/>
          <w:i w:val="0"/>
          <w:iCs w:val="0"/>
          <w:caps w:val="0"/>
          <w:color w:val="000000"/>
          <w:spacing w:val="0"/>
          <w:sz w:val="28"/>
          <w:szCs w:val="28"/>
          <w:shd w:val="clear" w:fill="FFFFFF"/>
        </w:rPr>
        <w:t>0万平方米，医疗建筑面积</w:t>
      </w:r>
      <w:r>
        <w:rPr>
          <w:rFonts w:hint="eastAsia" w:ascii="仿宋" w:hAnsi="仿宋" w:eastAsia="仿宋" w:cs="仿宋"/>
          <w:i w:val="0"/>
          <w:iCs w:val="0"/>
          <w:caps w:val="0"/>
          <w:color w:val="000000"/>
          <w:spacing w:val="0"/>
          <w:sz w:val="28"/>
          <w:szCs w:val="28"/>
          <w:shd w:val="clear" w:fill="FFFFFF"/>
          <w:lang w:val="en-US" w:eastAsia="zh-CN"/>
        </w:rPr>
        <w:t>6500</w:t>
      </w:r>
      <w:r>
        <w:rPr>
          <w:rFonts w:hint="eastAsia" w:ascii="仿宋" w:hAnsi="仿宋" w:eastAsia="仿宋" w:cs="仿宋"/>
          <w:i w:val="0"/>
          <w:iCs w:val="0"/>
          <w:caps w:val="0"/>
          <w:color w:val="000000"/>
          <w:spacing w:val="0"/>
          <w:sz w:val="28"/>
          <w:szCs w:val="28"/>
          <w:shd w:val="clear" w:fill="FFFFFF"/>
        </w:rPr>
        <w:t>平方米，编制病床</w:t>
      </w:r>
      <w:r>
        <w:rPr>
          <w:rFonts w:hint="eastAsia" w:ascii="仿宋" w:hAnsi="仿宋" w:eastAsia="仿宋" w:cs="仿宋"/>
          <w:i w:val="0"/>
          <w:iCs w:val="0"/>
          <w:caps w:val="0"/>
          <w:color w:val="000000"/>
          <w:spacing w:val="0"/>
          <w:sz w:val="28"/>
          <w:szCs w:val="28"/>
          <w:shd w:val="clear" w:fill="FFFFFF"/>
          <w:lang w:val="en-US" w:eastAsia="zh-CN"/>
        </w:rPr>
        <w:t>100</w:t>
      </w:r>
      <w:r>
        <w:rPr>
          <w:rFonts w:hint="eastAsia" w:ascii="仿宋" w:hAnsi="仿宋" w:eastAsia="仿宋" w:cs="仿宋"/>
          <w:i w:val="0"/>
          <w:iCs w:val="0"/>
          <w:caps w:val="0"/>
          <w:color w:val="000000"/>
          <w:spacing w:val="0"/>
          <w:sz w:val="28"/>
          <w:szCs w:val="28"/>
          <w:shd w:val="clear" w:fill="FFFFFF"/>
        </w:rPr>
        <w:t>张，实际开放病床</w:t>
      </w:r>
      <w:r>
        <w:rPr>
          <w:rFonts w:hint="eastAsia" w:ascii="仿宋" w:hAnsi="仿宋" w:eastAsia="仿宋" w:cs="仿宋"/>
          <w:i w:val="0"/>
          <w:iCs w:val="0"/>
          <w:caps w:val="0"/>
          <w:color w:val="000000"/>
          <w:spacing w:val="0"/>
          <w:sz w:val="28"/>
          <w:szCs w:val="28"/>
          <w:shd w:val="clear" w:fill="FFFFFF"/>
          <w:lang w:val="en-US" w:eastAsia="zh-CN"/>
        </w:rPr>
        <w:t>100</w:t>
      </w:r>
      <w:r>
        <w:rPr>
          <w:rFonts w:hint="eastAsia" w:ascii="仿宋" w:hAnsi="仿宋" w:eastAsia="仿宋" w:cs="仿宋"/>
          <w:i w:val="0"/>
          <w:iCs w:val="0"/>
          <w:caps w:val="0"/>
          <w:color w:val="000000"/>
          <w:spacing w:val="0"/>
          <w:sz w:val="28"/>
          <w:szCs w:val="28"/>
          <w:shd w:val="clear" w:fill="FFFFFF"/>
        </w:rPr>
        <w:t>张。门诊开设内科、外科、针灸推拿科</w:t>
      </w:r>
      <w:r>
        <w:rPr>
          <w:rFonts w:hint="eastAsia" w:ascii="仿宋" w:hAnsi="仿宋" w:eastAsia="仿宋" w:cs="仿宋"/>
          <w:i w:val="0"/>
          <w:iCs w:val="0"/>
          <w:caps w:val="0"/>
          <w:color w:val="000000"/>
          <w:spacing w:val="0"/>
          <w:sz w:val="28"/>
          <w:szCs w:val="28"/>
          <w:shd w:val="clear" w:fill="FFFFFF"/>
          <w:lang w:eastAsia="zh-CN"/>
        </w:rPr>
        <w:t>，</w:t>
      </w:r>
      <w:r>
        <w:rPr>
          <w:rFonts w:hint="eastAsia" w:ascii="仿宋" w:hAnsi="仿宋" w:eastAsia="仿宋" w:cs="仿宋"/>
          <w:i w:val="0"/>
          <w:iCs w:val="0"/>
          <w:caps w:val="0"/>
          <w:color w:val="000000"/>
          <w:spacing w:val="0"/>
          <w:sz w:val="28"/>
          <w:szCs w:val="28"/>
          <w:shd w:val="clear" w:fill="FFFFFF"/>
        </w:rPr>
        <w:t>病区开设内科</w:t>
      </w:r>
      <w:r>
        <w:rPr>
          <w:rFonts w:hint="eastAsia" w:ascii="仿宋" w:hAnsi="仿宋" w:eastAsia="仿宋" w:cs="仿宋"/>
          <w:i w:val="0"/>
          <w:iCs w:val="0"/>
          <w:caps w:val="0"/>
          <w:color w:val="000000"/>
          <w:spacing w:val="0"/>
          <w:sz w:val="28"/>
          <w:szCs w:val="28"/>
          <w:shd w:val="clear" w:fill="FFFFFF"/>
          <w:lang w:eastAsia="zh-CN"/>
        </w:rPr>
        <w:t>，外科，</w:t>
      </w:r>
      <w:r>
        <w:rPr>
          <w:rFonts w:hint="eastAsia" w:ascii="仿宋" w:hAnsi="仿宋" w:eastAsia="仿宋" w:cs="仿宋"/>
          <w:i w:val="0"/>
          <w:iCs w:val="0"/>
          <w:caps w:val="0"/>
          <w:color w:val="000000"/>
          <w:spacing w:val="0"/>
          <w:sz w:val="28"/>
          <w:szCs w:val="28"/>
          <w:shd w:val="clear" w:fill="FFFFFF"/>
        </w:rPr>
        <w:t>妇产科</w:t>
      </w:r>
      <w:r>
        <w:rPr>
          <w:rFonts w:hint="eastAsia" w:ascii="仿宋" w:hAnsi="仿宋" w:eastAsia="仿宋" w:cs="仿宋"/>
          <w:i w:val="0"/>
          <w:iCs w:val="0"/>
          <w:caps w:val="0"/>
          <w:color w:val="000000"/>
          <w:spacing w:val="0"/>
          <w:sz w:val="28"/>
          <w:szCs w:val="28"/>
          <w:shd w:val="clear" w:fill="FFFFFF"/>
          <w:lang w:eastAsia="zh-CN"/>
        </w:rPr>
        <w:t>，</w:t>
      </w:r>
      <w:r>
        <w:rPr>
          <w:rFonts w:hint="eastAsia" w:ascii="仿宋" w:hAnsi="仿宋" w:eastAsia="仿宋" w:cs="仿宋"/>
          <w:i w:val="0"/>
          <w:iCs w:val="0"/>
          <w:caps w:val="0"/>
          <w:color w:val="000000"/>
          <w:spacing w:val="0"/>
          <w:sz w:val="28"/>
          <w:szCs w:val="28"/>
          <w:shd w:val="clear" w:fill="FFFFFF"/>
        </w:rPr>
        <w:t>针灸推拿科、麻醉科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仿宋" w:hAnsi="仿宋" w:eastAsia="仿宋" w:cs="仿宋"/>
          <w:i w:val="0"/>
          <w:iCs w:val="0"/>
          <w:caps w:val="0"/>
          <w:color w:val="000000"/>
          <w:spacing w:val="0"/>
          <w:sz w:val="28"/>
          <w:szCs w:val="28"/>
        </w:rPr>
      </w:pPr>
      <w:r>
        <w:rPr>
          <w:rFonts w:hint="eastAsia" w:ascii="仿宋" w:hAnsi="仿宋" w:eastAsia="仿宋" w:cs="仿宋"/>
          <w:i w:val="0"/>
          <w:iCs w:val="0"/>
          <w:caps w:val="0"/>
          <w:color w:val="000000"/>
          <w:spacing w:val="0"/>
          <w:sz w:val="28"/>
          <w:szCs w:val="28"/>
          <w:shd w:val="clear" w:fill="FFFFFF"/>
        </w:rPr>
        <w:t>至2021年12月底，医院事业编制人数</w:t>
      </w:r>
      <w:r>
        <w:rPr>
          <w:rFonts w:hint="eastAsia" w:ascii="仿宋" w:hAnsi="仿宋" w:eastAsia="仿宋" w:cs="仿宋"/>
          <w:i w:val="0"/>
          <w:iCs w:val="0"/>
          <w:caps w:val="0"/>
          <w:color w:val="000000"/>
          <w:spacing w:val="0"/>
          <w:sz w:val="28"/>
          <w:szCs w:val="28"/>
          <w:shd w:val="clear" w:fill="FFFFFF"/>
          <w:lang w:val="en-US" w:eastAsia="zh-CN"/>
        </w:rPr>
        <w:t>80</w:t>
      </w:r>
      <w:r>
        <w:rPr>
          <w:rFonts w:hint="eastAsia" w:ascii="仿宋" w:hAnsi="仿宋" w:eastAsia="仿宋" w:cs="仿宋"/>
          <w:i w:val="0"/>
          <w:iCs w:val="0"/>
          <w:caps w:val="0"/>
          <w:color w:val="000000"/>
          <w:spacing w:val="0"/>
          <w:sz w:val="28"/>
          <w:szCs w:val="28"/>
          <w:shd w:val="clear" w:fill="FFFFFF"/>
        </w:rPr>
        <w:t>人，实有人数</w:t>
      </w:r>
      <w:r>
        <w:rPr>
          <w:rFonts w:hint="eastAsia" w:ascii="仿宋" w:hAnsi="仿宋" w:eastAsia="仿宋" w:cs="仿宋"/>
          <w:i w:val="0"/>
          <w:iCs w:val="0"/>
          <w:caps w:val="0"/>
          <w:color w:val="000000"/>
          <w:spacing w:val="0"/>
          <w:sz w:val="28"/>
          <w:szCs w:val="28"/>
          <w:shd w:val="clear" w:fill="FFFFFF"/>
          <w:lang w:val="en-US" w:eastAsia="zh-CN"/>
        </w:rPr>
        <w:t>93</w:t>
      </w:r>
      <w:r>
        <w:rPr>
          <w:rFonts w:hint="eastAsia" w:ascii="仿宋" w:hAnsi="仿宋" w:eastAsia="仿宋" w:cs="仿宋"/>
          <w:i w:val="0"/>
          <w:iCs w:val="0"/>
          <w:caps w:val="0"/>
          <w:color w:val="000000"/>
          <w:spacing w:val="0"/>
          <w:sz w:val="28"/>
          <w:szCs w:val="28"/>
          <w:shd w:val="clear" w:fill="FFFFFF"/>
        </w:rPr>
        <w:t>人（其中在职职工</w:t>
      </w:r>
      <w:r>
        <w:rPr>
          <w:rFonts w:hint="eastAsia" w:ascii="仿宋" w:hAnsi="仿宋" w:eastAsia="仿宋" w:cs="仿宋"/>
          <w:i w:val="0"/>
          <w:iCs w:val="0"/>
          <w:caps w:val="0"/>
          <w:color w:val="000000"/>
          <w:spacing w:val="0"/>
          <w:sz w:val="28"/>
          <w:szCs w:val="28"/>
          <w:shd w:val="clear" w:fill="FFFFFF"/>
          <w:lang w:val="en-US" w:eastAsia="zh-CN"/>
        </w:rPr>
        <w:t>73</w:t>
      </w:r>
      <w:r>
        <w:rPr>
          <w:rFonts w:hint="eastAsia" w:ascii="仿宋" w:hAnsi="仿宋" w:eastAsia="仿宋" w:cs="仿宋"/>
          <w:i w:val="0"/>
          <w:iCs w:val="0"/>
          <w:caps w:val="0"/>
          <w:color w:val="000000"/>
          <w:spacing w:val="0"/>
          <w:sz w:val="28"/>
          <w:szCs w:val="28"/>
          <w:shd w:val="clear" w:fill="FFFFFF"/>
        </w:rPr>
        <w:t>人、退休职工</w:t>
      </w:r>
      <w:r>
        <w:rPr>
          <w:rFonts w:hint="eastAsia" w:ascii="仿宋" w:hAnsi="仿宋" w:eastAsia="仿宋" w:cs="仿宋"/>
          <w:i w:val="0"/>
          <w:iCs w:val="0"/>
          <w:caps w:val="0"/>
          <w:color w:val="000000"/>
          <w:spacing w:val="0"/>
          <w:sz w:val="28"/>
          <w:szCs w:val="28"/>
          <w:shd w:val="clear" w:fill="FFFFFF"/>
          <w:lang w:val="en-US" w:eastAsia="zh-CN"/>
        </w:rPr>
        <w:t>39</w:t>
      </w:r>
      <w:r>
        <w:rPr>
          <w:rFonts w:hint="eastAsia" w:ascii="仿宋" w:hAnsi="仿宋" w:eastAsia="仿宋" w:cs="仿宋"/>
          <w:i w:val="0"/>
          <w:iCs w:val="0"/>
          <w:caps w:val="0"/>
          <w:color w:val="000000"/>
          <w:spacing w:val="0"/>
          <w:sz w:val="28"/>
          <w:szCs w:val="28"/>
          <w:shd w:val="clear" w:fill="FFFFFF"/>
        </w:rPr>
        <w:t>人）。</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（三）整体支出情况</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2021年度本年收入</w:t>
      </w:r>
      <w:r>
        <w:rPr>
          <w:rFonts w:hint="eastAsia" w:ascii="仿宋" w:hAnsi="仿宋" w:eastAsia="仿宋" w:cs="仿宋"/>
          <w:sz w:val="28"/>
          <w:szCs w:val="28"/>
          <w:lang w:val="en-US" w:eastAsia="zh-CN"/>
        </w:rPr>
        <w:t>2341.1</w:t>
      </w:r>
      <w:r>
        <w:rPr>
          <w:rFonts w:hint="eastAsia" w:ascii="仿宋" w:hAnsi="仿宋" w:eastAsia="仿宋" w:cs="仿宋"/>
          <w:sz w:val="28"/>
          <w:szCs w:val="28"/>
        </w:rPr>
        <w:t>万元，其中：财政拨款收入</w:t>
      </w:r>
      <w:r>
        <w:rPr>
          <w:rFonts w:hint="eastAsia" w:ascii="仿宋" w:hAnsi="仿宋" w:eastAsia="仿宋" w:cs="仿宋"/>
          <w:sz w:val="28"/>
          <w:szCs w:val="28"/>
          <w:lang w:val="en-US" w:eastAsia="zh-CN"/>
        </w:rPr>
        <w:t>1512.0</w:t>
      </w:r>
      <w:r>
        <w:rPr>
          <w:rFonts w:hint="eastAsia" w:ascii="仿宋" w:hAnsi="仿宋" w:eastAsia="仿宋" w:cs="仿宋"/>
          <w:sz w:val="28"/>
          <w:szCs w:val="28"/>
        </w:rPr>
        <w:t>万元；上级补助收入</w:t>
      </w:r>
      <w:r>
        <w:rPr>
          <w:rFonts w:hint="eastAsia" w:ascii="仿宋" w:hAnsi="仿宋" w:eastAsia="仿宋" w:cs="仿宋"/>
          <w:sz w:val="28"/>
          <w:szCs w:val="28"/>
          <w:lang w:val="en-US" w:eastAsia="zh-CN"/>
        </w:rPr>
        <w:t>34.0</w:t>
      </w:r>
      <w:r>
        <w:rPr>
          <w:rFonts w:hint="eastAsia" w:ascii="仿宋" w:hAnsi="仿宋" w:eastAsia="仿宋" w:cs="仿宋"/>
          <w:sz w:val="28"/>
          <w:szCs w:val="28"/>
        </w:rPr>
        <w:t>万元；事业收入</w:t>
      </w:r>
      <w:r>
        <w:rPr>
          <w:rFonts w:hint="eastAsia" w:ascii="仿宋" w:hAnsi="仿宋" w:eastAsia="仿宋" w:cs="仿宋"/>
          <w:sz w:val="28"/>
          <w:szCs w:val="28"/>
          <w:lang w:val="en-US" w:eastAsia="zh-CN"/>
        </w:rPr>
        <w:t>758.5</w:t>
      </w:r>
      <w:r>
        <w:rPr>
          <w:rFonts w:hint="eastAsia" w:ascii="仿宋" w:hAnsi="仿宋" w:eastAsia="仿宋" w:cs="仿宋"/>
          <w:sz w:val="28"/>
          <w:szCs w:val="28"/>
        </w:rPr>
        <w:t>万元。经营收入0万元；附属单位上缴收入0万元；其他收入</w:t>
      </w:r>
      <w:r>
        <w:rPr>
          <w:rFonts w:hint="eastAsia" w:ascii="仿宋" w:hAnsi="仿宋" w:eastAsia="仿宋" w:cs="仿宋"/>
          <w:sz w:val="28"/>
          <w:szCs w:val="28"/>
          <w:lang w:val="en-US" w:eastAsia="zh-CN"/>
        </w:rPr>
        <w:t>36.6</w:t>
      </w:r>
      <w:r>
        <w:rPr>
          <w:rFonts w:hint="eastAsia" w:ascii="仿宋" w:hAnsi="仿宋" w:eastAsia="仿宋" w:cs="仿宋"/>
          <w:sz w:val="28"/>
          <w:szCs w:val="28"/>
        </w:rPr>
        <w:t>万元。</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2021年度支出合计</w:t>
      </w:r>
      <w:r>
        <w:rPr>
          <w:rFonts w:hint="eastAsia" w:ascii="仿宋" w:hAnsi="仿宋" w:eastAsia="仿宋" w:cs="仿宋"/>
          <w:sz w:val="28"/>
          <w:szCs w:val="28"/>
          <w:lang w:val="en-US" w:eastAsia="zh-CN"/>
        </w:rPr>
        <w:t>2219.1</w:t>
      </w:r>
      <w:r>
        <w:rPr>
          <w:rFonts w:hint="eastAsia" w:ascii="仿宋" w:hAnsi="仿宋" w:eastAsia="仿宋" w:cs="仿宋"/>
          <w:sz w:val="28"/>
          <w:szCs w:val="28"/>
        </w:rPr>
        <w:t>万元，其中：基本支出</w:t>
      </w:r>
      <w:r>
        <w:rPr>
          <w:rFonts w:hint="eastAsia" w:ascii="仿宋" w:hAnsi="仿宋" w:eastAsia="仿宋" w:cs="仿宋"/>
          <w:sz w:val="28"/>
          <w:szCs w:val="28"/>
          <w:lang w:val="en-US" w:eastAsia="zh-CN"/>
        </w:rPr>
        <w:t>1959</w:t>
      </w:r>
      <w:r>
        <w:rPr>
          <w:rFonts w:hint="eastAsia" w:ascii="仿宋" w:hAnsi="仿宋" w:eastAsia="仿宋" w:cs="仿宋"/>
          <w:sz w:val="28"/>
          <w:szCs w:val="28"/>
        </w:rPr>
        <w:t>万元；项目支出 </w:t>
      </w:r>
      <w:r>
        <w:rPr>
          <w:rFonts w:hint="eastAsia" w:ascii="仿宋" w:hAnsi="仿宋" w:eastAsia="仿宋" w:cs="仿宋"/>
          <w:sz w:val="28"/>
          <w:szCs w:val="28"/>
          <w:lang w:val="en-US" w:eastAsia="zh-CN"/>
        </w:rPr>
        <w:t>218.6</w:t>
      </w:r>
      <w:r>
        <w:rPr>
          <w:rFonts w:hint="eastAsia" w:ascii="仿宋" w:hAnsi="仿宋" w:eastAsia="仿宋" w:cs="仿宋"/>
          <w:sz w:val="28"/>
          <w:szCs w:val="28"/>
        </w:rPr>
        <w:t>万元；上缴上级支出0万元；经营支出0万元；</w:t>
      </w:r>
      <w:r>
        <w:rPr>
          <w:rFonts w:hint="eastAsia" w:ascii="仿宋" w:hAnsi="仿宋" w:eastAsia="仿宋" w:cs="仿宋"/>
          <w:sz w:val="28"/>
          <w:szCs w:val="28"/>
          <w:lang w:eastAsia="zh-CN"/>
        </w:rPr>
        <w:t>其他</w:t>
      </w:r>
      <w:r>
        <w:rPr>
          <w:rFonts w:hint="eastAsia" w:ascii="仿宋" w:hAnsi="仿宋" w:eastAsia="仿宋" w:cs="仿宋"/>
          <w:sz w:val="28"/>
          <w:szCs w:val="28"/>
        </w:rPr>
        <w:t>支出</w:t>
      </w:r>
      <w:r>
        <w:rPr>
          <w:rFonts w:hint="eastAsia" w:ascii="仿宋" w:hAnsi="仿宋" w:eastAsia="仿宋" w:cs="仿宋"/>
          <w:sz w:val="28"/>
          <w:szCs w:val="28"/>
          <w:lang w:val="en-US" w:eastAsia="zh-CN"/>
        </w:rPr>
        <w:t>41.5</w:t>
      </w:r>
      <w:r>
        <w:rPr>
          <w:rFonts w:hint="eastAsia" w:ascii="仿宋" w:hAnsi="仿宋" w:eastAsia="仿宋" w:cs="仿宋"/>
          <w:sz w:val="28"/>
          <w:szCs w:val="28"/>
        </w:rPr>
        <w:t>万元。</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、基本支出使用管理情况</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lang w:eastAsia="zh-CN"/>
        </w:rPr>
        <w:t>桃花源中心医</w:t>
      </w:r>
      <w:r>
        <w:rPr>
          <w:rFonts w:hint="eastAsia" w:ascii="仿宋" w:hAnsi="仿宋" w:eastAsia="仿宋" w:cs="仿宋"/>
          <w:sz w:val="28"/>
          <w:szCs w:val="28"/>
        </w:rPr>
        <w:t>院建立健全了收入、支出、政府采购、资产管理以及公务接待管理、差旅费、培训费等财务管理制度，成立了内部控制工作领导小组，加强内部控制和监督。资金使用符合国家财经法规和财务管理制度规定以及有关专项资金管理办法的规定。各项经费支出实行一支笔审批制度，严格公务接待费、差旅费、会议费和培训费审核审批程序，“三公”经费较好地控制在预算范围之内，有效杜绝了资金使用挤占、挪用、虚列支出等情况，确保了资金使用的规范性、安全性和有效性，切实降低各医院运行成本。</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lang w:eastAsia="zh-CN"/>
        </w:rPr>
        <w:t>三</w:t>
      </w:r>
      <w:r>
        <w:rPr>
          <w:rFonts w:hint="eastAsia" w:ascii="仿宋" w:hAnsi="仿宋" w:eastAsia="仿宋" w:cs="仿宋"/>
          <w:sz w:val="28"/>
          <w:szCs w:val="28"/>
        </w:rPr>
        <w:t>、资产管理情况</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lang w:val="en-US" w:eastAsia="zh-CN"/>
        </w:rPr>
      </w:pPr>
      <w:r>
        <w:rPr>
          <w:rFonts w:hint="eastAsia" w:ascii="仿宋" w:hAnsi="仿宋" w:eastAsia="仿宋" w:cs="仿宋"/>
          <w:sz w:val="28"/>
          <w:szCs w:val="28"/>
          <w:lang w:eastAsia="zh-CN"/>
        </w:rPr>
        <w:t>桃花源中心医</w:t>
      </w:r>
      <w:r>
        <w:rPr>
          <w:rFonts w:hint="eastAsia" w:ascii="仿宋" w:hAnsi="仿宋" w:eastAsia="仿宋" w:cs="仿宋"/>
          <w:sz w:val="28"/>
          <w:szCs w:val="28"/>
        </w:rPr>
        <w:t>院制定了资产管理制度，对本单位公共财产物资实行统一管理、统一调配，建立了资产实物管理台账，根据各部门的需求制订了采购计划，按国有资产配置、政府采购和有关规定加强管理，程序到位，专人管理，对取得的资产及时进行会计核算，每年对财产物资进行清查、盘点、核对、处理。截至2021年12月31日资产共计</w:t>
      </w:r>
      <w:r>
        <w:rPr>
          <w:rFonts w:hint="eastAsia" w:ascii="仿宋" w:hAnsi="仿宋" w:eastAsia="仿宋" w:cs="仿宋"/>
          <w:sz w:val="28"/>
          <w:szCs w:val="28"/>
          <w:lang w:val="en-US" w:eastAsia="zh-CN"/>
        </w:rPr>
        <w:t>1305</w:t>
      </w:r>
      <w:r>
        <w:rPr>
          <w:rFonts w:hint="eastAsia" w:ascii="仿宋" w:hAnsi="仿宋" w:eastAsia="仿宋" w:cs="仿宋"/>
          <w:sz w:val="28"/>
          <w:szCs w:val="28"/>
        </w:rPr>
        <w:t>万元</w:t>
      </w:r>
      <w:r>
        <w:rPr>
          <w:rFonts w:hint="eastAsia" w:ascii="仿宋" w:hAnsi="仿宋" w:eastAsia="仿宋" w:cs="仿宋"/>
          <w:sz w:val="28"/>
          <w:szCs w:val="28"/>
          <w:lang w:eastAsia="zh-CN"/>
        </w:rPr>
        <w:t>。</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lang w:eastAsia="zh-CN"/>
        </w:rPr>
        <w:t>四</w:t>
      </w:r>
      <w:r>
        <w:rPr>
          <w:rFonts w:hint="eastAsia" w:ascii="仿宋" w:hAnsi="仿宋" w:eastAsia="仿宋" w:cs="仿宋"/>
          <w:sz w:val="28"/>
          <w:szCs w:val="28"/>
        </w:rPr>
        <w:t>、部门整体支出绩效情况</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2021年，</w:t>
      </w:r>
      <w:r>
        <w:rPr>
          <w:rFonts w:hint="eastAsia" w:ascii="仿宋" w:hAnsi="仿宋" w:eastAsia="仿宋" w:cs="仿宋"/>
          <w:sz w:val="28"/>
          <w:szCs w:val="28"/>
          <w:lang w:eastAsia="zh-CN"/>
        </w:rPr>
        <w:t>医</w:t>
      </w:r>
      <w:r>
        <w:rPr>
          <w:rFonts w:hint="eastAsia" w:ascii="仿宋" w:hAnsi="仿宋" w:eastAsia="仿宋" w:cs="仿宋"/>
          <w:sz w:val="28"/>
          <w:szCs w:val="28"/>
        </w:rPr>
        <w:t>院通过加强预算收支的管理，不断建立健全内部管理制度，理顺内部管理流程，部门整体支出管理情况得到了提升。部门整体支出绩效情况如下：</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(一）社会效益评价</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多年来，乡镇卫生院广大医务工作者恪尽职守，忠诚担当，以科学的精神、高尚的医德、精湛的医术奋战在治病救人、救死扶伤的第一线。2021年新冠疫情进入常态化，广大医务工作者的“逆行”，得到了群众的点赞和致敬，让群众满意，也推动</w:t>
      </w:r>
      <w:r>
        <w:rPr>
          <w:rFonts w:hint="eastAsia" w:ascii="仿宋" w:hAnsi="仿宋" w:eastAsia="仿宋" w:cs="仿宋"/>
          <w:sz w:val="28"/>
          <w:szCs w:val="28"/>
          <w:lang w:eastAsia="zh-CN"/>
        </w:rPr>
        <w:t>医院</w:t>
      </w:r>
      <w:r>
        <w:rPr>
          <w:rFonts w:hint="eastAsia" w:ascii="仿宋" w:hAnsi="仿宋" w:eastAsia="仿宋" w:cs="仿宋"/>
          <w:sz w:val="28"/>
          <w:szCs w:val="28"/>
        </w:rPr>
        <w:t>健康建设迈入新征程。</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（二）经济性评价</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1、从源头抓起，科学合理编制经费预算。根据</w:t>
      </w:r>
      <w:r>
        <w:rPr>
          <w:rFonts w:hint="eastAsia" w:ascii="仿宋" w:hAnsi="仿宋" w:eastAsia="仿宋" w:cs="仿宋"/>
          <w:sz w:val="28"/>
          <w:szCs w:val="28"/>
          <w:lang w:eastAsia="zh-CN"/>
        </w:rPr>
        <w:t>区</w:t>
      </w:r>
      <w:r>
        <w:rPr>
          <w:rFonts w:hint="eastAsia" w:ascii="仿宋" w:hAnsi="仿宋" w:eastAsia="仿宋" w:cs="仿宋"/>
          <w:sz w:val="28"/>
          <w:szCs w:val="28"/>
        </w:rPr>
        <w:t>财政预算改革的有关要求，结合单位实际需要，按标准、按项目科学认真编制部门预算。</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2、预算执行方面，支出总额控制在预算总额以内；不存在截留或滞留专项资金情况。</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（三）行政效能评价</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为强化部门整体支出，加强国有资产管理，提高资金使用效益，在财务管理和厉行节约方面开展了大量工作，行政效能显著。</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1、在原有相对健全的财务管理制度基础上，适时地、针对性地进行了相关制度的增补，制度的建立更为完善。</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2、重视制度的学习和宣讲工作，并已逐步形成了崇尚厉行节约反对浪费的机关文化。根据中央、湖南省、郴州市人民政府下发的《党政机关厉行节约反对浪费条例》《湖南省党政机关国内公务接待管理办法》《宜章县县直机关差旅费管理办法》等一系列文件精神，组织单位人员学习，强化了我院厉行节约管理意识。</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3、加强医疗服务质量建设，严肃查处大处方、乱检查、乱收费等行为，切实控制医疗费用不合理增长，确保广大群众得实惠。</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4、在健康扶贫“一站式”结算服务平台，为贫困人员提供“一站式”即时结算服务。住院报销时，通过城乡居民医保信息系统一次性结算、补偿到位，患者只需支付自付费用即可，彻底解决了全县贫困人员就医报账“多头跑、耗时长、手续繁、效率低”的问题，极大提高了工作效率，获得了各级领导的好评。</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lang w:eastAsia="zh-CN"/>
        </w:rPr>
        <w:t>五</w:t>
      </w:r>
      <w:r>
        <w:rPr>
          <w:rFonts w:hint="eastAsia" w:ascii="仿宋" w:hAnsi="仿宋" w:eastAsia="仿宋" w:cs="仿宋"/>
          <w:sz w:val="28"/>
          <w:szCs w:val="28"/>
        </w:rPr>
        <w:t>、存在的问题用原因分析</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年初预算的编制较为精细，按照费用支出的使用范围和内容，进行了类、款、项三个层级的明细预算，并按照预算的最末级明细进行预算支出管理。但对于追加的预算资金，没有进行预算分解，编制明细预算，因此涉及追加预算资金的预算管理均仅从总额进行控制，不便于对其进行精细化的预算管理和分析评价。 </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lang w:eastAsia="zh-CN"/>
        </w:rPr>
        <w:t>六</w:t>
      </w:r>
      <w:r>
        <w:rPr>
          <w:rFonts w:hint="eastAsia" w:ascii="仿宋" w:hAnsi="仿宋" w:eastAsia="仿宋" w:cs="仿宋"/>
          <w:sz w:val="28"/>
          <w:szCs w:val="28"/>
        </w:rPr>
        <w:t>、下一步改进措施</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1、细化预算编制工作，认真做好预算的编制。进一步加强内部机构的预算管理意识，严格按照预算编制的相关制度和要求，本着“勤俭节约、保障运转”的原则进行预算的编制；编制范围尽可能地全面、不漏项，进一步提高预算编制的科学性、合理性、严谨性和可控性。</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2、在日常预算管理过程中，进一步加强预算支出的审核、跟踪及预算执行情况分析。结合实际情况，完整、准确地披露相关财务信息，尽可能地做到决算与预算相衔接。</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3、科学执行绩效预算管理制度。一是进一步优化绩效评价指标体系。部门整体绩效评价工作是一项长期性的工作，专业性强，工作量大，建议财政有关部门进一步加强开展相关的业务培训，完善绩效评价方法和评价指标体系，组织开展部门之间、单位之间的经验交流，多注重督促指导推进绩效评价的开展。二是加强对绩效评价结果的运用。推动相关制度建设，逐步建立以绩效为导向的预算编制模式，将绩效评价从事后评价湘预算编制、审查批准、执行过程等前置环节延伸，建立以绩效为导向的编制模式，把绩效考评的结果作为编制部门预算的重要依据。</w:t>
      </w:r>
    </w:p>
    <w:p>
      <w:pPr>
        <w:pStyle w:val="5"/>
        <w:keepNext w:val="0"/>
        <w:keepLines w:val="0"/>
        <w:widowControl/>
        <w:suppressLineNumbers w:val="0"/>
        <w:spacing w:before="450" w:beforeAutospacing="0" w:after="0" w:afterAutospacing="0" w:line="33" w:lineRule="atLeast"/>
        <w:ind w:left="0" w:right="0" w:firstLine="420"/>
        <w:jc w:val="both"/>
        <w:rPr>
          <w:rFonts w:hint="eastAsia" w:ascii="仿宋" w:hAnsi="仿宋" w:eastAsia="仿宋" w:cs="仿宋"/>
          <w:sz w:val="28"/>
          <w:szCs w:val="28"/>
        </w:rPr>
      </w:pPr>
      <w:r>
        <w:rPr>
          <w:rFonts w:hint="eastAsia" w:ascii="仿宋" w:hAnsi="仿宋" w:eastAsia="仿宋" w:cs="仿宋"/>
          <w:sz w:val="28"/>
          <w:szCs w:val="28"/>
        </w:rPr>
        <w:t> </w:t>
      </w:r>
    </w:p>
    <w:p>
      <w:pPr>
        <w:pStyle w:val="5"/>
        <w:keepNext w:val="0"/>
        <w:keepLines w:val="0"/>
        <w:widowControl/>
        <w:suppressLineNumbers w:val="0"/>
        <w:spacing w:before="450" w:beforeAutospacing="0" w:after="0" w:afterAutospacing="0" w:line="33" w:lineRule="atLeast"/>
        <w:ind w:left="0" w:right="0" w:firstLine="5180" w:firstLineChars="1850"/>
        <w:jc w:val="both"/>
        <w:rPr>
          <w:rFonts w:hint="eastAsia" w:ascii="仿宋" w:hAnsi="仿宋" w:eastAsia="仿宋" w:cs="仿宋"/>
          <w:sz w:val="28"/>
          <w:szCs w:val="28"/>
        </w:rPr>
      </w:pPr>
      <w:r>
        <w:rPr>
          <w:rFonts w:hint="eastAsia" w:ascii="仿宋" w:hAnsi="仿宋" w:eastAsia="仿宋" w:cs="仿宋"/>
          <w:sz w:val="28"/>
          <w:szCs w:val="28"/>
          <w:lang w:eastAsia="zh-CN"/>
        </w:rPr>
        <w:t>桃花源中心医</w:t>
      </w:r>
      <w:r>
        <w:rPr>
          <w:rFonts w:hint="eastAsia" w:ascii="仿宋" w:hAnsi="仿宋" w:eastAsia="仿宋" w:cs="仿宋"/>
          <w:sz w:val="28"/>
          <w:szCs w:val="28"/>
        </w:rPr>
        <w:t>院</w:t>
      </w:r>
    </w:p>
    <w:p>
      <w:pPr>
        <w:pStyle w:val="5"/>
        <w:keepNext w:val="0"/>
        <w:keepLines w:val="0"/>
        <w:widowControl/>
        <w:suppressLineNumbers w:val="0"/>
        <w:spacing w:before="450" w:beforeAutospacing="0" w:after="0" w:afterAutospacing="0" w:line="33" w:lineRule="atLeast"/>
        <w:ind w:left="0" w:right="0" w:firstLine="5460" w:firstLineChars="1950"/>
        <w:jc w:val="both"/>
        <w:rPr>
          <w:rFonts w:hint="eastAsia" w:ascii="仿宋" w:hAnsi="仿宋" w:eastAsia="仿宋" w:cs="仿宋"/>
          <w:sz w:val="28"/>
          <w:szCs w:val="28"/>
        </w:rPr>
      </w:pPr>
      <w:bookmarkStart w:id="0" w:name="_GoBack"/>
      <w:bookmarkEnd w:id="0"/>
      <w:r>
        <w:rPr>
          <w:rFonts w:hint="eastAsia" w:ascii="仿宋" w:hAnsi="仿宋" w:eastAsia="仿宋" w:cs="仿宋"/>
          <w:sz w:val="28"/>
          <w:szCs w:val="28"/>
        </w:rPr>
        <w:t>2022年5月31日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hint="eastAsia" w:ascii="宋体" w:hAnsi="宋体" w:eastAsia="宋体" w:cs="宋体"/>
          <w:i w:val="0"/>
          <w:iCs w:val="0"/>
          <w:caps w:val="0"/>
          <w:color w:val="000000"/>
          <w:spacing w:val="0"/>
          <w:sz w:val="24"/>
          <w:szCs w:val="24"/>
          <w:bdr w:val="none" w:color="auto" w:sz="0" w:space="0"/>
          <w:shd w:val="clear" w:fill="FFFFFF"/>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right="0" w:firstLine="480" w:firstLineChars="200"/>
        <w:jc w:val="left"/>
        <w:rPr>
          <w:rFonts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为加强财政预算资金管理，进一步规范预算资金使用，提高财政资金使用效益，根据上级相关文件精神，结合我院具体情况，对2021年度本单位整体支出进行了绩效自评，现将具体绩效评价情况报告如下：</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一、部门概况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（一）机构、人员构成</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衡山县中医医院为独立财务核算的非盈利公益性二级甲等中医医院，是集医疗、科研、教学、预防保健于一体的综合性中医医院，属财政差额拨款的事业单位。医院占地</w:t>
      </w:r>
      <w:r>
        <w:rPr>
          <w:rFonts w:hint="eastAsia" w:ascii="宋体" w:hAnsi="宋体" w:eastAsia="宋体" w:cs="宋体"/>
          <w:i w:val="0"/>
          <w:iCs w:val="0"/>
          <w:caps w:val="0"/>
          <w:color w:val="000000"/>
          <w:spacing w:val="0"/>
          <w:sz w:val="24"/>
          <w:szCs w:val="24"/>
          <w:bdr w:val="none" w:color="auto" w:sz="0" w:space="0"/>
          <w:shd w:val="clear" w:fill="FFFFFF"/>
          <w:lang w:val="en-US" w:eastAsia="zh-CN"/>
        </w:rPr>
        <w:t>870</w:t>
      </w:r>
      <w:r>
        <w:rPr>
          <w:rFonts w:hint="eastAsia" w:ascii="宋体" w:hAnsi="宋体" w:eastAsia="宋体" w:cs="宋体"/>
          <w:i w:val="0"/>
          <w:iCs w:val="0"/>
          <w:caps w:val="0"/>
          <w:color w:val="000000"/>
          <w:spacing w:val="0"/>
          <w:sz w:val="24"/>
          <w:szCs w:val="24"/>
          <w:bdr w:val="none" w:color="auto" w:sz="0" w:space="0"/>
          <w:shd w:val="clear" w:fill="FFFFFF"/>
        </w:rPr>
        <w:t>0万平方米，医疗建筑面积</w:t>
      </w:r>
      <w:r>
        <w:rPr>
          <w:rFonts w:hint="eastAsia" w:ascii="宋体" w:hAnsi="宋体" w:eastAsia="宋体" w:cs="宋体"/>
          <w:i w:val="0"/>
          <w:iCs w:val="0"/>
          <w:caps w:val="0"/>
          <w:color w:val="000000"/>
          <w:spacing w:val="0"/>
          <w:sz w:val="24"/>
          <w:szCs w:val="24"/>
          <w:bdr w:val="none" w:color="auto" w:sz="0" w:space="0"/>
          <w:shd w:val="clear" w:fill="FFFFFF"/>
          <w:lang w:val="en-US" w:eastAsia="zh-CN"/>
        </w:rPr>
        <w:t>6500</w:t>
      </w:r>
      <w:r>
        <w:rPr>
          <w:rFonts w:hint="eastAsia" w:ascii="宋体" w:hAnsi="宋体" w:eastAsia="宋体" w:cs="宋体"/>
          <w:i w:val="0"/>
          <w:iCs w:val="0"/>
          <w:caps w:val="0"/>
          <w:color w:val="000000"/>
          <w:spacing w:val="0"/>
          <w:sz w:val="24"/>
          <w:szCs w:val="24"/>
          <w:bdr w:val="none" w:color="auto" w:sz="0" w:space="0"/>
          <w:shd w:val="clear" w:fill="FFFFFF"/>
        </w:rPr>
        <w:t>平方米，编制病床</w:t>
      </w:r>
      <w:r>
        <w:rPr>
          <w:rFonts w:hint="eastAsia" w:ascii="宋体" w:hAnsi="宋体" w:eastAsia="宋体" w:cs="宋体"/>
          <w:i w:val="0"/>
          <w:iCs w:val="0"/>
          <w:caps w:val="0"/>
          <w:color w:val="000000"/>
          <w:spacing w:val="0"/>
          <w:sz w:val="24"/>
          <w:szCs w:val="24"/>
          <w:bdr w:val="none" w:color="auto" w:sz="0" w:space="0"/>
          <w:shd w:val="clear" w:fill="FFFFFF"/>
          <w:lang w:val="en-US" w:eastAsia="zh-CN"/>
        </w:rPr>
        <w:t>100</w:t>
      </w:r>
      <w:r>
        <w:rPr>
          <w:rFonts w:hint="eastAsia" w:ascii="宋体" w:hAnsi="宋体" w:eastAsia="宋体" w:cs="宋体"/>
          <w:i w:val="0"/>
          <w:iCs w:val="0"/>
          <w:caps w:val="0"/>
          <w:color w:val="000000"/>
          <w:spacing w:val="0"/>
          <w:sz w:val="24"/>
          <w:szCs w:val="24"/>
          <w:bdr w:val="none" w:color="auto" w:sz="0" w:space="0"/>
          <w:shd w:val="clear" w:fill="FFFFFF"/>
        </w:rPr>
        <w:t>张，实际开放病床</w:t>
      </w:r>
      <w:r>
        <w:rPr>
          <w:rFonts w:hint="eastAsia" w:ascii="宋体" w:hAnsi="宋体" w:eastAsia="宋体" w:cs="宋体"/>
          <w:i w:val="0"/>
          <w:iCs w:val="0"/>
          <w:caps w:val="0"/>
          <w:color w:val="000000"/>
          <w:spacing w:val="0"/>
          <w:sz w:val="24"/>
          <w:szCs w:val="24"/>
          <w:bdr w:val="none" w:color="auto" w:sz="0" w:space="0"/>
          <w:shd w:val="clear" w:fill="FFFFFF"/>
          <w:lang w:val="en-US" w:eastAsia="zh-CN"/>
        </w:rPr>
        <w:t>100</w:t>
      </w:r>
      <w:r>
        <w:rPr>
          <w:rFonts w:hint="eastAsia" w:ascii="宋体" w:hAnsi="宋体" w:eastAsia="宋体" w:cs="宋体"/>
          <w:i w:val="0"/>
          <w:iCs w:val="0"/>
          <w:caps w:val="0"/>
          <w:color w:val="000000"/>
          <w:spacing w:val="0"/>
          <w:sz w:val="24"/>
          <w:szCs w:val="24"/>
          <w:bdr w:val="none" w:color="auto" w:sz="0" w:space="0"/>
          <w:shd w:val="clear" w:fill="FFFFFF"/>
        </w:rPr>
        <w:t>张。门诊开设内科、外科、针灸推拿科</w:t>
      </w:r>
      <w:r>
        <w:rPr>
          <w:rFonts w:hint="eastAsia" w:ascii="宋体" w:hAnsi="宋体" w:eastAsia="宋体" w:cs="宋体"/>
          <w:i w:val="0"/>
          <w:iCs w:val="0"/>
          <w:caps w:val="0"/>
          <w:color w:val="000000"/>
          <w:spacing w:val="0"/>
          <w:sz w:val="24"/>
          <w:szCs w:val="24"/>
          <w:bdr w:val="none" w:color="auto" w:sz="0" w:space="0"/>
          <w:shd w:val="clear" w:fill="FFFFFF"/>
          <w:lang w:eastAsia="zh-CN"/>
        </w:rPr>
        <w:t>，</w:t>
      </w:r>
      <w:r>
        <w:rPr>
          <w:rFonts w:hint="eastAsia" w:ascii="宋体" w:hAnsi="宋体" w:eastAsia="宋体" w:cs="宋体"/>
          <w:i w:val="0"/>
          <w:iCs w:val="0"/>
          <w:caps w:val="0"/>
          <w:color w:val="000000"/>
          <w:spacing w:val="0"/>
          <w:sz w:val="24"/>
          <w:szCs w:val="24"/>
          <w:bdr w:val="none" w:color="auto" w:sz="0" w:space="0"/>
          <w:shd w:val="clear" w:fill="FFFFFF"/>
        </w:rPr>
        <w:t>病区开设内科</w:t>
      </w:r>
      <w:r>
        <w:rPr>
          <w:rFonts w:hint="eastAsia" w:ascii="宋体" w:hAnsi="宋体" w:eastAsia="宋体" w:cs="宋体"/>
          <w:i w:val="0"/>
          <w:iCs w:val="0"/>
          <w:caps w:val="0"/>
          <w:color w:val="000000"/>
          <w:spacing w:val="0"/>
          <w:sz w:val="24"/>
          <w:szCs w:val="24"/>
          <w:bdr w:val="none" w:color="auto" w:sz="0" w:space="0"/>
          <w:shd w:val="clear" w:fill="FFFFFF"/>
          <w:lang w:eastAsia="zh-CN"/>
        </w:rPr>
        <w:t>，外科，</w:t>
      </w:r>
      <w:r>
        <w:rPr>
          <w:rFonts w:hint="eastAsia" w:ascii="宋体" w:hAnsi="宋体" w:eastAsia="宋体" w:cs="宋体"/>
          <w:i w:val="0"/>
          <w:iCs w:val="0"/>
          <w:caps w:val="0"/>
          <w:color w:val="000000"/>
          <w:spacing w:val="0"/>
          <w:sz w:val="24"/>
          <w:szCs w:val="24"/>
          <w:bdr w:val="none" w:color="auto" w:sz="0" w:space="0"/>
          <w:shd w:val="clear" w:fill="FFFFFF"/>
        </w:rPr>
        <w:t>妇产科</w:t>
      </w:r>
      <w:r>
        <w:rPr>
          <w:rFonts w:hint="eastAsia" w:ascii="宋体" w:hAnsi="宋体" w:eastAsia="宋体" w:cs="宋体"/>
          <w:i w:val="0"/>
          <w:iCs w:val="0"/>
          <w:caps w:val="0"/>
          <w:color w:val="000000"/>
          <w:spacing w:val="0"/>
          <w:sz w:val="24"/>
          <w:szCs w:val="24"/>
          <w:bdr w:val="none" w:color="auto" w:sz="0" w:space="0"/>
          <w:shd w:val="clear" w:fill="FFFFFF"/>
          <w:lang w:eastAsia="zh-CN"/>
        </w:rPr>
        <w:t>，</w:t>
      </w:r>
      <w:r>
        <w:rPr>
          <w:rFonts w:hint="eastAsia" w:ascii="宋体" w:hAnsi="宋体" w:eastAsia="宋体" w:cs="宋体"/>
          <w:i w:val="0"/>
          <w:iCs w:val="0"/>
          <w:caps w:val="0"/>
          <w:color w:val="000000"/>
          <w:spacing w:val="0"/>
          <w:sz w:val="24"/>
          <w:szCs w:val="24"/>
          <w:bdr w:val="none" w:color="auto" w:sz="0" w:space="0"/>
          <w:shd w:val="clear" w:fill="FFFFFF"/>
        </w:rPr>
        <w:t>针灸推拿科、麻醉科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至2021年12月底，医院事业编制人数</w:t>
      </w:r>
      <w:r>
        <w:rPr>
          <w:rFonts w:hint="eastAsia" w:ascii="宋体" w:hAnsi="宋体" w:eastAsia="宋体" w:cs="宋体"/>
          <w:i w:val="0"/>
          <w:iCs w:val="0"/>
          <w:caps w:val="0"/>
          <w:color w:val="000000"/>
          <w:spacing w:val="0"/>
          <w:sz w:val="24"/>
          <w:szCs w:val="24"/>
          <w:bdr w:val="none" w:color="auto" w:sz="0" w:space="0"/>
          <w:shd w:val="clear" w:fill="FFFFFF"/>
          <w:lang w:val="en-US" w:eastAsia="zh-CN"/>
        </w:rPr>
        <w:t>80</w:t>
      </w:r>
      <w:r>
        <w:rPr>
          <w:rFonts w:hint="eastAsia" w:ascii="宋体" w:hAnsi="宋体" w:eastAsia="宋体" w:cs="宋体"/>
          <w:i w:val="0"/>
          <w:iCs w:val="0"/>
          <w:caps w:val="0"/>
          <w:color w:val="000000"/>
          <w:spacing w:val="0"/>
          <w:sz w:val="24"/>
          <w:szCs w:val="24"/>
          <w:bdr w:val="none" w:color="auto" w:sz="0" w:space="0"/>
          <w:shd w:val="clear" w:fill="FFFFFF"/>
        </w:rPr>
        <w:t>人，实有人数</w:t>
      </w:r>
      <w:r>
        <w:rPr>
          <w:rFonts w:hint="eastAsia" w:ascii="宋体" w:hAnsi="宋体" w:eastAsia="宋体" w:cs="宋体"/>
          <w:i w:val="0"/>
          <w:iCs w:val="0"/>
          <w:caps w:val="0"/>
          <w:color w:val="000000"/>
          <w:spacing w:val="0"/>
          <w:sz w:val="24"/>
          <w:szCs w:val="24"/>
          <w:bdr w:val="none" w:color="auto" w:sz="0" w:space="0"/>
          <w:shd w:val="clear" w:fill="FFFFFF"/>
          <w:lang w:val="en-US" w:eastAsia="zh-CN"/>
        </w:rPr>
        <w:t>93</w:t>
      </w:r>
      <w:r>
        <w:rPr>
          <w:rFonts w:hint="eastAsia" w:ascii="宋体" w:hAnsi="宋体" w:eastAsia="宋体" w:cs="宋体"/>
          <w:i w:val="0"/>
          <w:iCs w:val="0"/>
          <w:caps w:val="0"/>
          <w:color w:val="000000"/>
          <w:spacing w:val="0"/>
          <w:sz w:val="24"/>
          <w:szCs w:val="24"/>
          <w:bdr w:val="none" w:color="auto" w:sz="0" w:space="0"/>
          <w:shd w:val="clear" w:fill="FFFFFF"/>
        </w:rPr>
        <w:t>人（其中在职职工</w:t>
      </w:r>
      <w:r>
        <w:rPr>
          <w:rFonts w:hint="eastAsia" w:ascii="宋体" w:hAnsi="宋体" w:eastAsia="宋体" w:cs="宋体"/>
          <w:i w:val="0"/>
          <w:iCs w:val="0"/>
          <w:caps w:val="0"/>
          <w:color w:val="000000"/>
          <w:spacing w:val="0"/>
          <w:sz w:val="24"/>
          <w:szCs w:val="24"/>
          <w:bdr w:val="none" w:color="auto" w:sz="0" w:space="0"/>
          <w:shd w:val="clear" w:fill="FFFFFF"/>
          <w:lang w:val="en-US" w:eastAsia="zh-CN"/>
        </w:rPr>
        <w:t>73</w:t>
      </w:r>
      <w:r>
        <w:rPr>
          <w:rFonts w:hint="eastAsia" w:ascii="宋体" w:hAnsi="宋体" w:eastAsia="宋体" w:cs="宋体"/>
          <w:i w:val="0"/>
          <w:iCs w:val="0"/>
          <w:caps w:val="0"/>
          <w:color w:val="000000"/>
          <w:spacing w:val="0"/>
          <w:sz w:val="24"/>
          <w:szCs w:val="24"/>
          <w:bdr w:val="none" w:color="auto" w:sz="0" w:space="0"/>
          <w:shd w:val="clear" w:fill="FFFFFF"/>
        </w:rPr>
        <w:t>人、退休职工</w:t>
      </w:r>
      <w:r>
        <w:rPr>
          <w:rFonts w:hint="eastAsia" w:ascii="宋体" w:hAnsi="宋体" w:eastAsia="宋体" w:cs="宋体"/>
          <w:i w:val="0"/>
          <w:iCs w:val="0"/>
          <w:caps w:val="0"/>
          <w:color w:val="000000"/>
          <w:spacing w:val="0"/>
          <w:sz w:val="24"/>
          <w:szCs w:val="24"/>
          <w:bdr w:val="none" w:color="auto" w:sz="0" w:space="0"/>
          <w:shd w:val="clear" w:fill="FFFFFF"/>
          <w:lang w:val="en-US" w:eastAsia="zh-CN"/>
        </w:rPr>
        <w:t>39</w:t>
      </w:r>
      <w:r>
        <w:rPr>
          <w:rFonts w:hint="eastAsia" w:ascii="宋体" w:hAnsi="宋体" w:eastAsia="宋体" w:cs="宋体"/>
          <w:i w:val="0"/>
          <w:iCs w:val="0"/>
          <w:caps w:val="0"/>
          <w:color w:val="000000"/>
          <w:spacing w:val="0"/>
          <w:sz w:val="24"/>
          <w:szCs w:val="24"/>
          <w:bdr w:val="none" w:color="auto" w:sz="0" w:space="0"/>
          <w:shd w:val="clear" w:fill="FFFFFF"/>
        </w:rPr>
        <w:t>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（二）单位主要职责</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（1）为人民群众提供中西医医疗、预防、保健、计划生育、康复等医疗卫生服务。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val="en-US" w:eastAsia="zh-CN"/>
        </w:rPr>
        <w:t>2</w:t>
      </w:r>
      <w:r>
        <w:rPr>
          <w:rFonts w:hint="eastAsia" w:ascii="宋体" w:hAnsi="宋体" w:eastAsia="宋体" w:cs="宋体"/>
          <w:i w:val="0"/>
          <w:iCs w:val="0"/>
          <w:caps w:val="0"/>
          <w:color w:val="000000"/>
          <w:spacing w:val="0"/>
          <w:sz w:val="24"/>
          <w:szCs w:val="24"/>
          <w:bdr w:val="none" w:color="auto" w:sz="0" w:space="0"/>
          <w:shd w:val="clear" w:fill="FFFFFF"/>
        </w:rPr>
        <w:t>）确保全</w:t>
      </w:r>
      <w:r>
        <w:rPr>
          <w:rFonts w:hint="eastAsia" w:ascii="宋体" w:hAnsi="宋体" w:eastAsia="宋体" w:cs="宋体"/>
          <w:i w:val="0"/>
          <w:iCs w:val="0"/>
          <w:caps w:val="0"/>
          <w:color w:val="000000"/>
          <w:spacing w:val="0"/>
          <w:sz w:val="24"/>
          <w:szCs w:val="24"/>
          <w:bdr w:val="none" w:color="auto" w:sz="0" w:space="0"/>
          <w:shd w:val="clear" w:fill="FFFFFF"/>
          <w:lang w:eastAsia="zh-CN"/>
        </w:rPr>
        <w:t>区</w:t>
      </w:r>
      <w:r>
        <w:rPr>
          <w:rFonts w:hint="eastAsia" w:ascii="宋体" w:hAnsi="宋体" w:eastAsia="宋体" w:cs="宋体"/>
          <w:i w:val="0"/>
          <w:iCs w:val="0"/>
          <w:caps w:val="0"/>
          <w:color w:val="000000"/>
          <w:spacing w:val="0"/>
          <w:sz w:val="24"/>
          <w:szCs w:val="24"/>
          <w:bdr w:val="none" w:color="auto" w:sz="0" w:space="0"/>
          <w:shd w:val="clear" w:fill="FFFFFF"/>
        </w:rPr>
        <w:t>人民中西医疗健康需求，建立与地方经济发展相适应的中西医结合医疗环境。加强中医医院标准化管理。春夏秋冬走健康之路看四季养生网健康饮食 养生问题 母婴保健 养生小常识。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val="en-US" w:eastAsia="zh-CN"/>
        </w:rPr>
        <w:t>3</w:t>
      </w:r>
      <w:r>
        <w:rPr>
          <w:rFonts w:hint="eastAsia" w:ascii="宋体" w:hAnsi="宋体" w:eastAsia="宋体" w:cs="宋体"/>
          <w:i w:val="0"/>
          <w:iCs w:val="0"/>
          <w:caps w:val="0"/>
          <w:color w:val="000000"/>
          <w:spacing w:val="0"/>
          <w:sz w:val="24"/>
          <w:szCs w:val="24"/>
          <w:bdr w:val="none" w:color="auto" w:sz="0" w:space="0"/>
          <w:shd w:val="clear" w:fill="FFFFFF"/>
        </w:rPr>
        <w:t>）贯彻落实国家基本药物制度和药品集中采购工作，执行医用耗材集中采购工作；负责医院内部的药品和医疗器械管理工作。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val="en-US" w:eastAsia="zh-CN"/>
        </w:rPr>
        <w:t>4</w:t>
      </w:r>
      <w:r>
        <w:rPr>
          <w:rFonts w:hint="eastAsia" w:ascii="宋体" w:hAnsi="宋体" w:eastAsia="宋体" w:cs="宋体"/>
          <w:i w:val="0"/>
          <w:iCs w:val="0"/>
          <w:caps w:val="0"/>
          <w:color w:val="000000"/>
          <w:spacing w:val="0"/>
          <w:sz w:val="24"/>
          <w:szCs w:val="24"/>
          <w:bdr w:val="none" w:color="auto" w:sz="0" w:space="0"/>
          <w:shd w:val="clear" w:fill="FFFFFF"/>
        </w:rPr>
        <w:t>）承担意外灾害事故、疫情等突发公共卫生事件的医疗急救及社区预防、保健和康复医疗服务工作，开展各种医疗保健卫生知识宣传普及。</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val="en-US" w:eastAsia="zh-CN"/>
        </w:rPr>
        <w:t>5</w:t>
      </w:r>
      <w:r>
        <w:rPr>
          <w:rFonts w:hint="eastAsia" w:ascii="宋体" w:hAnsi="宋体" w:eastAsia="宋体" w:cs="宋体"/>
          <w:i w:val="0"/>
          <w:iCs w:val="0"/>
          <w:caps w:val="0"/>
          <w:color w:val="000000"/>
          <w:spacing w:val="0"/>
          <w:sz w:val="24"/>
          <w:szCs w:val="24"/>
          <w:bdr w:val="none" w:color="auto" w:sz="0" w:space="0"/>
          <w:shd w:val="clear" w:fill="FFFFFF"/>
        </w:rPr>
        <w:t>）充分发挥中医药在国家基本公共卫生服务中的优势和作用，负责全</w:t>
      </w:r>
      <w:r>
        <w:rPr>
          <w:rFonts w:hint="eastAsia" w:ascii="宋体" w:hAnsi="宋体" w:eastAsia="宋体" w:cs="宋体"/>
          <w:i w:val="0"/>
          <w:iCs w:val="0"/>
          <w:caps w:val="0"/>
          <w:color w:val="000000"/>
          <w:spacing w:val="0"/>
          <w:sz w:val="24"/>
          <w:szCs w:val="24"/>
          <w:bdr w:val="none" w:color="auto" w:sz="0" w:space="0"/>
          <w:shd w:val="clear" w:fill="FFFFFF"/>
          <w:lang w:eastAsia="zh-CN"/>
        </w:rPr>
        <w:t>区</w:t>
      </w:r>
      <w:r>
        <w:rPr>
          <w:rFonts w:hint="eastAsia" w:ascii="宋体" w:hAnsi="宋体" w:eastAsia="宋体" w:cs="宋体"/>
          <w:i w:val="0"/>
          <w:iCs w:val="0"/>
          <w:caps w:val="0"/>
          <w:color w:val="000000"/>
          <w:spacing w:val="0"/>
          <w:sz w:val="24"/>
          <w:szCs w:val="24"/>
          <w:bdr w:val="none" w:color="auto" w:sz="0" w:space="0"/>
          <w:shd w:val="clear" w:fill="FFFFFF"/>
        </w:rPr>
        <w:t>基本公共卫生服务中医药健康管理项目的实施和日常管理。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val="en-US" w:eastAsia="zh-CN"/>
        </w:rPr>
        <w:t>6</w:t>
      </w:r>
      <w:r>
        <w:rPr>
          <w:rFonts w:hint="eastAsia" w:ascii="宋体" w:hAnsi="宋体" w:eastAsia="宋体" w:cs="宋体"/>
          <w:i w:val="0"/>
          <w:iCs w:val="0"/>
          <w:caps w:val="0"/>
          <w:color w:val="000000"/>
          <w:spacing w:val="0"/>
          <w:sz w:val="24"/>
          <w:szCs w:val="24"/>
          <w:bdr w:val="none" w:color="auto" w:sz="0" w:space="0"/>
          <w:shd w:val="clear" w:fill="FFFFFF"/>
        </w:rPr>
        <w:t>）做好城镇职工基本医疗保险、城镇居民基本医疗保险和新型农村合作医疗保险等定点医疗机构的各项工作。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val="en-US" w:eastAsia="zh-CN"/>
        </w:rPr>
        <w:t>7</w:t>
      </w:r>
      <w:r>
        <w:rPr>
          <w:rFonts w:hint="eastAsia" w:ascii="宋体" w:hAnsi="宋体" w:eastAsia="宋体" w:cs="宋体"/>
          <w:i w:val="0"/>
          <w:iCs w:val="0"/>
          <w:caps w:val="0"/>
          <w:color w:val="000000"/>
          <w:spacing w:val="0"/>
          <w:sz w:val="24"/>
          <w:szCs w:val="24"/>
          <w:bdr w:val="none" w:color="auto" w:sz="0" w:space="0"/>
          <w:shd w:val="clear" w:fill="FFFFFF"/>
        </w:rPr>
        <w:t>）参与卫生扶贫、重要会议与重大活动的医疗卫生保障工作。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6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w:t>
      </w:r>
      <w:r>
        <w:rPr>
          <w:rFonts w:hint="eastAsia" w:ascii="宋体" w:hAnsi="宋体" w:eastAsia="宋体" w:cs="宋体"/>
          <w:i w:val="0"/>
          <w:iCs w:val="0"/>
          <w:caps w:val="0"/>
          <w:color w:val="000000"/>
          <w:spacing w:val="0"/>
          <w:sz w:val="24"/>
          <w:szCs w:val="24"/>
          <w:bdr w:val="none" w:color="auto" w:sz="0" w:space="0"/>
          <w:shd w:val="clear" w:fill="FFFFFF"/>
          <w:lang w:val="en-US" w:eastAsia="zh-CN"/>
        </w:rPr>
        <w:t>8</w:t>
      </w:r>
      <w:r>
        <w:rPr>
          <w:rFonts w:hint="eastAsia" w:ascii="宋体" w:hAnsi="宋体" w:eastAsia="宋体" w:cs="宋体"/>
          <w:i w:val="0"/>
          <w:iCs w:val="0"/>
          <w:caps w:val="0"/>
          <w:color w:val="000000"/>
          <w:spacing w:val="0"/>
          <w:sz w:val="24"/>
          <w:szCs w:val="24"/>
          <w:bdr w:val="none" w:color="auto" w:sz="0" w:space="0"/>
          <w:shd w:val="clear" w:fill="FFFFFF"/>
        </w:rPr>
        <w:t>）承担</w:t>
      </w:r>
      <w:r>
        <w:rPr>
          <w:rFonts w:hint="eastAsia" w:ascii="宋体" w:hAnsi="宋体" w:eastAsia="宋体" w:cs="宋体"/>
          <w:i w:val="0"/>
          <w:iCs w:val="0"/>
          <w:caps w:val="0"/>
          <w:color w:val="000000"/>
          <w:spacing w:val="0"/>
          <w:sz w:val="24"/>
          <w:szCs w:val="24"/>
          <w:bdr w:val="none" w:color="auto" w:sz="0" w:space="0"/>
          <w:shd w:val="clear" w:fill="FFFFFF"/>
          <w:lang w:eastAsia="zh-CN"/>
        </w:rPr>
        <w:t>区</w:t>
      </w:r>
      <w:r>
        <w:rPr>
          <w:rFonts w:hint="eastAsia" w:ascii="宋体" w:hAnsi="宋体" w:eastAsia="宋体" w:cs="宋体"/>
          <w:i w:val="0"/>
          <w:iCs w:val="0"/>
          <w:caps w:val="0"/>
          <w:color w:val="000000"/>
          <w:spacing w:val="0"/>
          <w:sz w:val="24"/>
          <w:szCs w:val="24"/>
          <w:bdr w:val="none" w:color="auto" w:sz="0" w:space="0"/>
          <w:shd w:val="clear" w:fill="FFFFFF"/>
        </w:rPr>
        <w:t>政府及</w:t>
      </w:r>
      <w:r>
        <w:rPr>
          <w:rFonts w:hint="eastAsia" w:ascii="宋体" w:hAnsi="宋体" w:eastAsia="宋体" w:cs="宋体"/>
          <w:i w:val="0"/>
          <w:iCs w:val="0"/>
          <w:caps w:val="0"/>
          <w:color w:val="000000"/>
          <w:spacing w:val="0"/>
          <w:sz w:val="24"/>
          <w:szCs w:val="24"/>
          <w:bdr w:val="none" w:color="auto" w:sz="0" w:space="0"/>
          <w:shd w:val="clear" w:fill="FFFFFF"/>
          <w:lang w:eastAsia="zh-CN"/>
        </w:rPr>
        <w:t>区</w:t>
      </w:r>
      <w:r>
        <w:rPr>
          <w:rFonts w:hint="eastAsia" w:ascii="宋体" w:hAnsi="宋体" w:eastAsia="宋体" w:cs="宋体"/>
          <w:i w:val="0"/>
          <w:iCs w:val="0"/>
          <w:caps w:val="0"/>
          <w:color w:val="000000"/>
          <w:spacing w:val="0"/>
          <w:sz w:val="24"/>
          <w:szCs w:val="24"/>
          <w:bdr w:val="none" w:color="auto" w:sz="0" w:space="0"/>
          <w:shd w:val="clear" w:fill="FFFFFF"/>
        </w:rPr>
        <w:t>卫生局交办的其他卫生工作。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(三）部门财务情况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根据《会计法》、《预算法》、《医院会计制度》、《医院财务制度》等法律和财政部及省财政厅有关财务规章的规定，本单位严格执行经费审批权限及程序，加强了经费预算、核算管理、资产购置与处置、财务监督等。对“三公”经费的管理主要遵照财政厅、省委、省市政府办印发的《国内公务接待管理办法》、《因公临时出国经费管理办法》和《国内会议费管理办法》等制度规定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二、部门整体收支情况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25" w:lineRule="atLeast"/>
        <w:ind w:left="0" w:right="0" w:firstLine="420"/>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AFAFA"/>
        </w:rPr>
        <w:t>（一）2021年部门决算情况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line="525" w:lineRule="atLeast"/>
        <w:ind w:left="0" w:right="0" w:firstLine="420"/>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AFAFA"/>
        </w:rPr>
        <w:t>2021年度决算总收入为</w:t>
      </w:r>
      <w:r>
        <w:rPr>
          <w:rFonts w:hint="eastAsia" w:ascii="宋体" w:hAnsi="宋体" w:eastAsia="宋体" w:cs="宋体"/>
          <w:i w:val="0"/>
          <w:iCs w:val="0"/>
          <w:caps w:val="0"/>
          <w:color w:val="000000"/>
          <w:spacing w:val="0"/>
          <w:sz w:val="24"/>
          <w:szCs w:val="24"/>
          <w:bdr w:val="none" w:color="auto" w:sz="0" w:space="0"/>
          <w:shd w:val="clear" w:fill="FFFFFF"/>
          <w:lang w:val="en-US" w:eastAsia="zh-CN"/>
        </w:rPr>
        <w:t>2341.5</w:t>
      </w:r>
      <w:r>
        <w:rPr>
          <w:rFonts w:hint="eastAsia" w:ascii="宋体" w:hAnsi="宋体" w:eastAsia="宋体" w:cs="宋体"/>
          <w:i w:val="0"/>
          <w:iCs w:val="0"/>
          <w:caps w:val="0"/>
          <w:color w:val="000000"/>
          <w:spacing w:val="0"/>
          <w:sz w:val="24"/>
          <w:szCs w:val="24"/>
          <w:bdr w:val="none" w:color="auto" w:sz="0" w:space="0"/>
          <w:shd w:val="clear" w:fill="FFFFFF"/>
        </w:rPr>
        <w:t>万元，其中：一般公共预算财政拨款收入</w:t>
      </w:r>
      <w:r>
        <w:rPr>
          <w:rFonts w:hint="eastAsia" w:ascii="宋体" w:hAnsi="宋体" w:eastAsia="宋体" w:cs="宋体"/>
          <w:i w:val="0"/>
          <w:iCs w:val="0"/>
          <w:caps w:val="0"/>
          <w:color w:val="000000"/>
          <w:spacing w:val="0"/>
          <w:sz w:val="24"/>
          <w:szCs w:val="24"/>
          <w:bdr w:val="none" w:color="auto" w:sz="0" w:space="0"/>
          <w:shd w:val="clear" w:fill="FFFFFF"/>
          <w:lang w:val="en-US" w:eastAsia="zh-CN"/>
        </w:rPr>
        <w:t>1513</w:t>
      </w:r>
      <w:r>
        <w:rPr>
          <w:rFonts w:hint="eastAsia" w:ascii="宋体" w:hAnsi="宋体" w:eastAsia="宋体" w:cs="宋体"/>
          <w:i w:val="0"/>
          <w:iCs w:val="0"/>
          <w:caps w:val="0"/>
          <w:color w:val="000000"/>
          <w:spacing w:val="0"/>
          <w:sz w:val="24"/>
          <w:szCs w:val="24"/>
          <w:bdr w:val="none" w:color="auto" w:sz="0" w:space="0"/>
          <w:shd w:val="clear" w:fill="FFFFFF"/>
        </w:rPr>
        <w:t>万元；上级补助收入</w:t>
      </w:r>
      <w:r>
        <w:rPr>
          <w:rFonts w:hint="eastAsia" w:ascii="宋体" w:hAnsi="宋体" w:eastAsia="宋体" w:cs="宋体"/>
          <w:i w:val="0"/>
          <w:iCs w:val="0"/>
          <w:caps w:val="0"/>
          <w:color w:val="000000"/>
          <w:spacing w:val="0"/>
          <w:sz w:val="24"/>
          <w:szCs w:val="24"/>
          <w:bdr w:val="none" w:color="auto" w:sz="0" w:space="0"/>
          <w:shd w:val="clear" w:fill="FFFFFF"/>
          <w:lang w:val="en-US" w:eastAsia="zh-CN"/>
        </w:rPr>
        <w:t>33.3</w:t>
      </w:r>
      <w:r>
        <w:rPr>
          <w:rFonts w:hint="eastAsia" w:ascii="宋体" w:hAnsi="宋体" w:eastAsia="宋体" w:cs="宋体"/>
          <w:i w:val="0"/>
          <w:iCs w:val="0"/>
          <w:caps w:val="0"/>
          <w:color w:val="000000"/>
          <w:spacing w:val="0"/>
          <w:sz w:val="24"/>
          <w:szCs w:val="24"/>
          <w:bdr w:val="none" w:color="auto" w:sz="0" w:space="0"/>
          <w:shd w:val="clear" w:fill="FFFFFF"/>
        </w:rPr>
        <w:t>万元；事业收入</w:t>
      </w:r>
      <w:r>
        <w:rPr>
          <w:rFonts w:hint="eastAsia" w:ascii="宋体" w:hAnsi="宋体" w:eastAsia="宋体" w:cs="宋体"/>
          <w:i w:val="0"/>
          <w:iCs w:val="0"/>
          <w:caps w:val="0"/>
          <w:color w:val="000000"/>
          <w:spacing w:val="0"/>
          <w:sz w:val="24"/>
          <w:szCs w:val="24"/>
          <w:bdr w:val="none" w:color="auto" w:sz="0" w:space="0"/>
          <w:shd w:val="clear" w:fill="FFFFFF"/>
          <w:lang w:val="en-US" w:eastAsia="zh-CN"/>
        </w:rPr>
        <w:t>758.6</w:t>
      </w:r>
      <w:r>
        <w:rPr>
          <w:rFonts w:hint="eastAsia" w:ascii="宋体" w:hAnsi="宋体" w:eastAsia="宋体" w:cs="宋体"/>
          <w:i w:val="0"/>
          <w:iCs w:val="0"/>
          <w:caps w:val="0"/>
          <w:color w:val="000000"/>
          <w:spacing w:val="0"/>
          <w:sz w:val="24"/>
          <w:szCs w:val="24"/>
          <w:bdr w:val="none" w:color="auto" w:sz="0" w:space="0"/>
          <w:shd w:val="clear" w:fill="FFFFFF"/>
        </w:rPr>
        <w:t>万元；其他收入</w:t>
      </w:r>
      <w:r>
        <w:rPr>
          <w:rFonts w:hint="eastAsia" w:ascii="宋体" w:hAnsi="宋体" w:eastAsia="宋体" w:cs="宋体"/>
          <w:i w:val="0"/>
          <w:iCs w:val="0"/>
          <w:caps w:val="0"/>
          <w:color w:val="000000"/>
          <w:spacing w:val="0"/>
          <w:sz w:val="24"/>
          <w:szCs w:val="24"/>
          <w:bdr w:val="none" w:color="auto" w:sz="0" w:space="0"/>
          <w:shd w:val="clear" w:fill="FFFFFF"/>
          <w:lang w:val="en-US" w:eastAsia="zh-CN"/>
        </w:rPr>
        <w:t>36.6</w:t>
      </w:r>
      <w:r>
        <w:rPr>
          <w:rFonts w:hint="eastAsia" w:ascii="宋体" w:hAnsi="宋体" w:eastAsia="宋体" w:cs="宋体"/>
          <w:i w:val="0"/>
          <w:iCs w:val="0"/>
          <w:caps w:val="0"/>
          <w:color w:val="000000"/>
          <w:spacing w:val="0"/>
          <w:sz w:val="24"/>
          <w:szCs w:val="24"/>
          <w:bdr w:val="none" w:color="auto" w:sz="0" w:space="0"/>
          <w:shd w:val="clear" w:fill="FFFFFF"/>
        </w:rPr>
        <w:t>万元。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宋体" w:hAnsi="宋体" w:eastAsia="宋体" w:cs="宋体"/>
          <w:i w:val="0"/>
          <w:iCs w:val="0"/>
          <w:caps w:val="0"/>
          <w:color w:val="000000"/>
          <w:spacing w:val="0"/>
          <w:sz w:val="24"/>
          <w:szCs w:val="24"/>
          <w:bdr w:val="none" w:color="auto" w:sz="0" w:space="0"/>
          <w:shd w:val="clear" w:fill="FFFFFF"/>
        </w:rPr>
      </w:pPr>
      <w:r>
        <w:rPr>
          <w:rFonts w:hint="default" w:ascii="Times New Roman" w:hAnsi="Times New Roman" w:eastAsia="宋体" w:cs="Times New Roman"/>
          <w:i w:val="0"/>
          <w:iCs w:val="0"/>
          <w:caps w:val="0"/>
          <w:color w:val="000000"/>
          <w:spacing w:val="0"/>
          <w:sz w:val="24"/>
          <w:szCs w:val="24"/>
          <w:bdr w:val="none" w:color="auto" w:sz="0" w:space="0"/>
          <w:shd w:val="clear" w:fill="FFFFFF"/>
        </w:rPr>
        <w:t>2021</w:t>
      </w:r>
      <w:r>
        <w:rPr>
          <w:rFonts w:hint="eastAsia" w:ascii="宋体" w:hAnsi="宋体" w:eastAsia="宋体" w:cs="宋体"/>
          <w:i w:val="0"/>
          <w:iCs w:val="0"/>
          <w:caps w:val="0"/>
          <w:color w:val="000000"/>
          <w:spacing w:val="0"/>
          <w:sz w:val="24"/>
          <w:szCs w:val="24"/>
          <w:bdr w:val="none" w:color="auto" w:sz="0" w:space="0"/>
          <w:shd w:val="clear" w:fill="FFFFFF"/>
        </w:rPr>
        <w:t>年度决算总支出为</w:t>
      </w:r>
      <w:r>
        <w:rPr>
          <w:rFonts w:hint="eastAsia" w:ascii="宋体" w:hAnsi="宋体" w:eastAsia="宋体" w:cs="宋体"/>
          <w:i w:val="0"/>
          <w:iCs w:val="0"/>
          <w:caps w:val="0"/>
          <w:color w:val="000000"/>
          <w:spacing w:val="0"/>
          <w:sz w:val="24"/>
          <w:szCs w:val="24"/>
          <w:bdr w:val="none" w:color="auto" w:sz="0" w:space="0"/>
          <w:shd w:val="clear" w:fill="FFFFFF"/>
          <w:lang w:val="en-US" w:eastAsia="zh-CN"/>
        </w:rPr>
        <w:t>2219.1</w:t>
      </w:r>
      <w:r>
        <w:rPr>
          <w:rFonts w:hint="eastAsia" w:ascii="宋体" w:hAnsi="宋体" w:eastAsia="宋体" w:cs="宋体"/>
          <w:i w:val="0"/>
          <w:iCs w:val="0"/>
          <w:caps w:val="0"/>
          <w:color w:val="000000"/>
          <w:spacing w:val="0"/>
          <w:sz w:val="24"/>
          <w:szCs w:val="24"/>
          <w:bdr w:val="none" w:color="auto" w:sz="0" w:space="0"/>
          <w:shd w:val="clear" w:fill="FFFFFF"/>
        </w:rPr>
        <w:t>万元，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w:t>
      </w:r>
      <w:r>
        <w:rPr>
          <w:rFonts w:hint="eastAsia" w:ascii="宋体" w:hAnsi="宋体" w:eastAsia="宋体" w:cs="宋体"/>
          <w:i w:val="0"/>
          <w:iCs w:val="0"/>
          <w:caps w:val="0"/>
          <w:color w:val="000000"/>
          <w:spacing w:val="0"/>
          <w:sz w:val="24"/>
          <w:szCs w:val="24"/>
          <w:bdr w:val="none" w:color="auto" w:sz="0" w:space="0"/>
          <w:shd w:val="clear" w:fill="FFFFFF"/>
          <w:lang w:val="en-US" w:eastAsia="zh-CN"/>
        </w:rPr>
        <w:t>1</w:t>
      </w:r>
      <w:r>
        <w:rPr>
          <w:rFonts w:hint="eastAsia" w:ascii="宋体" w:hAnsi="宋体" w:eastAsia="宋体" w:cs="宋体"/>
          <w:i w:val="0"/>
          <w:iCs w:val="0"/>
          <w:caps w:val="0"/>
          <w:color w:val="000000"/>
          <w:spacing w:val="0"/>
          <w:sz w:val="24"/>
          <w:szCs w:val="24"/>
          <w:bdr w:val="none" w:color="auto" w:sz="0" w:space="0"/>
          <w:shd w:val="clear" w:fill="FFFFFF"/>
        </w:rPr>
        <w:t>年结余为</w:t>
      </w:r>
      <w:r>
        <w:rPr>
          <w:rFonts w:hint="eastAsia" w:ascii="宋体" w:hAnsi="宋体" w:eastAsia="宋体" w:cs="宋体"/>
          <w:i w:val="0"/>
          <w:iCs w:val="0"/>
          <w:caps w:val="0"/>
          <w:color w:val="000000"/>
          <w:spacing w:val="0"/>
          <w:sz w:val="24"/>
          <w:szCs w:val="24"/>
          <w:bdr w:val="none" w:color="auto" w:sz="0" w:space="0"/>
          <w:shd w:val="clear" w:fill="FFFFFF"/>
          <w:lang w:val="en-US" w:eastAsia="zh-CN"/>
        </w:rPr>
        <w:t>122.4万</w:t>
      </w:r>
      <w:r>
        <w:rPr>
          <w:rFonts w:hint="eastAsia" w:ascii="宋体" w:hAnsi="宋体" w:eastAsia="宋体" w:cs="宋体"/>
          <w:i w:val="0"/>
          <w:iCs w:val="0"/>
          <w:caps w:val="0"/>
          <w:color w:val="000000"/>
          <w:spacing w:val="0"/>
          <w:sz w:val="24"/>
          <w:szCs w:val="24"/>
          <w:bdr w:val="none" w:color="auto" w:sz="0" w:space="0"/>
          <w:shd w:val="clear" w:fill="FFFFFF"/>
        </w:rPr>
        <w:t>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31"/>
          <w:szCs w:val="31"/>
          <w:bdr w:val="none" w:color="auto" w:sz="0" w:space="0"/>
          <w:shd w:val="clear" w:fill="FFFFFF"/>
        </w:rPr>
        <w:t>   </w:t>
      </w:r>
      <w:r>
        <w:rPr>
          <w:rStyle w:val="8"/>
          <w:rFonts w:hint="eastAsia" w:ascii="宋体" w:hAnsi="宋体" w:eastAsia="宋体" w:cs="宋体"/>
          <w:i w:val="0"/>
          <w:iCs w:val="0"/>
          <w:caps w:val="0"/>
          <w:color w:val="000000"/>
          <w:spacing w:val="0"/>
          <w:sz w:val="24"/>
          <w:szCs w:val="24"/>
          <w:bdr w:val="none" w:color="auto" w:sz="0" w:space="0"/>
          <w:shd w:val="clear" w:fill="FFFFFF"/>
          <w:lang w:eastAsia="zh-CN"/>
        </w:rPr>
        <w:t>二</w:t>
      </w:r>
      <w:r>
        <w:rPr>
          <w:rStyle w:val="8"/>
          <w:rFonts w:hint="eastAsia" w:ascii="宋体" w:hAnsi="宋体" w:eastAsia="宋体" w:cs="宋体"/>
          <w:i w:val="0"/>
          <w:iCs w:val="0"/>
          <w:caps w:val="0"/>
          <w:color w:val="000000"/>
          <w:spacing w:val="0"/>
          <w:sz w:val="24"/>
          <w:szCs w:val="24"/>
          <w:bdr w:val="none" w:color="auto" w:sz="0" w:space="0"/>
          <w:shd w:val="clear" w:fill="FFFFFF"/>
        </w:rPr>
        <w:t>、资产管理情况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截止到2021年12月31日，资产总额为</w:t>
      </w:r>
      <w:r>
        <w:rPr>
          <w:rFonts w:hint="eastAsia" w:ascii="宋体" w:hAnsi="宋体" w:eastAsia="宋体" w:cs="宋体"/>
          <w:i w:val="0"/>
          <w:iCs w:val="0"/>
          <w:caps w:val="0"/>
          <w:color w:val="000000"/>
          <w:spacing w:val="0"/>
          <w:sz w:val="24"/>
          <w:szCs w:val="24"/>
          <w:bdr w:val="none" w:color="auto" w:sz="0" w:space="0"/>
          <w:shd w:val="clear" w:fill="FFFFFF"/>
          <w:lang w:val="en-US" w:eastAsia="zh-CN"/>
        </w:rPr>
        <w:t>1305</w:t>
      </w:r>
      <w:r>
        <w:rPr>
          <w:rFonts w:hint="eastAsia" w:ascii="宋体" w:hAnsi="宋体" w:eastAsia="宋体" w:cs="宋体"/>
          <w:i w:val="0"/>
          <w:iCs w:val="0"/>
          <w:caps w:val="0"/>
          <w:color w:val="000000"/>
          <w:spacing w:val="0"/>
          <w:sz w:val="24"/>
          <w:szCs w:val="24"/>
          <w:bdr w:val="none" w:color="auto" w:sz="0" w:space="0"/>
          <w:shd w:val="clear" w:fill="FFFFFF"/>
        </w:rPr>
        <w:t>万元，其中：流动资产</w:t>
      </w:r>
      <w:r>
        <w:rPr>
          <w:rFonts w:hint="eastAsia" w:ascii="宋体" w:hAnsi="宋体" w:eastAsia="宋体" w:cs="宋体"/>
          <w:i w:val="0"/>
          <w:iCs w:val="0"/>
          <w:caps w:val="0"/>
          <w:color w:val="000000"/>
          <w:spacing w:val="0"/>
          <w:sz w:val="24"/>
          <w:szCs w:val="24"/>
          <w:bdr w:val="none" w:color="auto" w:sz="0" w:space="0"/>
          <w:shd w:val="clear" w:fill="FFFFFF"/>
          <w:lang w:val="en-US" w:eastAsia="zh-CN"/>
        </w:rPr>
        <w:t>248</w:t>
      </w:r>
      <w:r>
        <w:rPr>
          <w:rFonts w:hint="eastAsia" w:ascii="宋体" w:hAnsi="宋体" w:eastAsia="宋体" w:cs="宋体"/>
          <w:i w:val="0"/>
          <w:iCs w:val="0"/>
          <w:caps w:val="0"/>
          <w:color w:val="000000"/>
          <w:spacing w:val="0"/>
          <w:sz w:val="24"/>
          <w:szCs w:val="24"/>
          <w:bdr w:val="none" w:color="auto" w:sz="0" w:space="0"/>
          <w:shd w:val="clear" w:fill="FFFFFF"/>
        </w:rPr>
        <w:t>万元，占资产总值</w:t>
      </w:r>
      <w:r>
        <w:rPr>
          <w:rFonts w:hint="eastAsia" w:ascii="宋体" w:hAnsi="宋体" w:eastAsia="宋体" w:cs="宋体"/>
          <w:i w:val="0"/>
          <w:iCs w:val="0"/>
          <w:caps w:val="0"/>
          <w:color w:val="000000"/>
          <w:spacing w:val="0"/>
          <w:sz w:val="24"/>
          <w:szCs w:val="24"/>
          <w:bdr w:val="none" w:color="auto" w:sz="0" w:space="0"/>
          <w:shd w:val="clear" w:fill="FFFFFF"/>
          <w:lang w:val="en-US" w:eastAsia="zh-CN"/>
        </w:rPr>
        <w:t>19</w:t>
      </w:r>
      <w:r>
        <w:rPr>
          <w:rFonts w:hint="eastAsia" w:ascii="宋体" w:hAnsi="宋体" w:eastAsia="宋体" w:cs="宋体"/>
          <w:i w:val="0"/>
          <w:iCs w:val="0"/>
          <w:caps w:val="0"/>
          <w:color w:val="000000"/>
          <w:spacing w:val="0"/>
          <w:sz w:val="24"/>
          <w:szCs w:val="24"/>
          <w:bdr w:val="none" w:color="auto" w:sz="0" w:space="0"/>
          <w:shd w:val="clear" w:fill="FFFFFF"/>
        </w:rPr>
        <w:t xml:space="preserve">%；固定资产净额 </w:t>
      </w:r>
      <w:r>
        <w:rPr>
          <w:rFonts w:hint="eastAsia" w:ascii="宋体" w:hAnsi="宋体" w:eastAsia="宋体" w:cs="宋体"/>
          <w:i w:val="0"/>
          <w:iCs w:val="0"/>
          <w:caps w:val="0"/>
          <w:color w:val="000000"/>
          <w:spacing w:val="0"/>
          <w:sz w:val="24"/>
          <w:szCs w:val="24"/>
          <w:bdr w:val="none" w:color="auto" w:sz="0" w:space="0"/>
          <w:shd w:val="clear" w:fill="FFFFFF"/>
          <w:lang w:val="en-US" w:eastAsia="zh-CN"/>
        </w:rPr>
        <w:t>1057</w:t>
      </w:r>
      <w:r>
        <w:rPr>
          <w:rFonts w:hint="eastAsia" w:ascii="宋体" w:hAnsi="宋体" w:eastAsia="宋体" w:cs="宋体"/>
          <w:i w:val="0"/>
          <w:iCs w:val="0"/>
          <w:caps w:val="0"/>
          <w:color w:val="000000"/>
          <w:spacing w:val="0"/>
          <w:sz w:val="24"/>
          <w:szCs w:val="24"/>
          <w:bdr w:val="none" w:color="auto" w:sz="0" w:space="0"/>
          <w:shd w:val="clear" w:fill="FFFFFF"/>
        </w:rPr>
        <w:t>万元，占资产总值</w:t>
      </w:r>
      <w:r>
        <w:rPr>
          <w:rFonts w:hint="eastAsia" w:ascii="宋体" w:hAnsi="宋体" w:eastAsia="宋体" w:cs="宋体"/>
          <w:i w:val="0"/>
          <w:iCs w:val="0"/>
          <w:caps w:val="0"/>
          <w:color w:val="000000"/>
          <w:spacing w:val="0"/>
          <w:sz w:val="24"/>
          <w:szCs w:val="24"/>
          <w:bdr w:val="none" w:color="auto" w:sz="0" w:space="0"/>
          <w:shd w:val="clear" w:fill="FFFFFF"/>
          <w:lang w:val="en-US" w:eastAsia="zh-CN"/>
        </w:rPr>
        <w:t>81</w:t>
      </w:r>
      <w:r>
        <w:rPr>
          <w:rFonts w:hint="eastAsia" w:ascii="宋体" w:hAnsi="宋体" w:eastAsia="宋体" w:cs="宋体"/>
          <w:i w:val="0"/>
          <w:iCs w:val="0"/>
          <w:caps w:val="0"/>
          <w:color w:val="000000"/>
          <w:spacing w:val="0"/>
          <w:sz w:val="24"/>
          <w:szCs w:val="24"/>
          <w:bdr w:val="none" w:color="auto" w:sz="0" w:space="0"/>
          <w:shd w:val="clear" w:fill="FFFFFF"/>
        </w:rPr>
        <w:t>%。</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四、部门整体支出绩效情况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ascii="仿宋" w:hAnsi="仿宋" w:eastAsia="仿宋" w:cs="仿宋"/>
          <w:i w:val="0"/>
          <w:iCs w:val="0"/>
          <w:caps w:val="0"/>
          <w:color w:val="000000"/>
          <w:spacing w:val="0"/>
          <w:sz w:val="24"/>
          <w:szCs w:val="24"/>
          <w:bdr w:val="none" w:color="auto" w:sz="0" w:space="0"/>
          <w:shd w:val="clear" w:fill="FFFFFF"/>
        </w:rPr>
        <w:t>（一）部门绩效总目标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为人民身体健康提供医疗与护理保健服务。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（二）年度部门绩效目标</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left"/>
        <w:rPr>
          <w:rFonts w:hint="eastAsia" w:ascii="微软雅黑" w:hAnsi="微软雅黑" w:eastAsia="微软雅黑" w:cs="微软雅黑"/>
          <w:i w:val="0"/>
          <w:iCs w:val="0"/>
          <w:caps w:val="0"/>
          <w:color w:val="000000"/>
          <w:spacing w:val="0"/>
          <w:sz w:val="24"/>
          <w:szCs w:val="24"/>
        </w:rPr>
      </w:pPr>
      <w:r>
        <w:rPr>
          <w:rStyle w:val="8"/>
          <w:rFonts w:hint="eastAsia" w:ascii="仿宋" w:hAnsi="仿宋" w:eastAsia="仿宋" w:cs="仿宋"/>
          <w:i w:val="0"/>
          <w:iCs w:val="0"/>
          <w:caps w:val="0"/>
          <w:color w:val="000000"/>
          <w:spacing w:val="0"/>
          <w:sz w:val="31"/>
          <w:szCs w:val="31"/>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持续深化综合医改工作，发挥中医诊疗特色，立足重点专科，扎实推进内涵建设，持续提升核心竞争力，积极开展医联体建设，加快医改向纵深推进，进一点提升服务质量，做好医疗、教学、预防、保健和康复任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（三）医疗指标，经济指标完成情况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门诊量78104人次，较去年增长17.8%，出院病人5886人次，较去年增长2.3%，病床使用率52%，出院者平均住院日</w:t>
      </w:r>
      <w:r>
        <w:rPr>
          <w:rFonts w:hint="eastAsia" w:ascii="宋体" w:hAnsi="宋体" w:eastAsia="宋体" w:cs="宋体"/>
          <w:i w:val="0"/>
          <w:iCs w:val="0"/>
          <w:caps w:val="0"/>
          <w:color w:val="000000"/>
          <w:spacing w:val="0"/>
          <w:sz w:val="24"/>
          <w:szCs w:val="24"/>
          <w:bdr w:val="none" w:color="auto" w:sz="0" w:space="0"/>
          <w:shd w:val="clear" w:fill="FFFFFF"/>
          <w:lang w:val="en-US" w:eastAsia="zh-CN"/>
        </w:rPr>
        <w:t>6</w:t>
      </w:r>
      <w:r>
        <w:rPr>
          <w:rFonts w:hint="eastAsia" w:ascii="宋体" w:hAnsi="宋体" w:eastAsia="宋体" w:cs="宋体"/>
          <w:i w:val="0"/>
          <w:iCs w:val="0"/>
          <w:caps w:val="0"/>
          <w:color w:val="000000"/>
          <w:spacing w:val="0"/>
          <w:sz w:val="24"/>
          <w:szCs w:val="24"/>
          <w:bdr w:val="none" w:color="auto" w:sz="0" w:space="0"/>
          <w:shd w:val="clear" w:fill="FFFFFF"/>
        </w:rPr>
        <w:t>天，每门诊人次平均收费水平302.84，出院患者平均医药费用5587.3元。全年业务收入5632.61万元，较去年4438.89增加1193.72万元，增长26.89%。</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（四）核心工作完成情况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0"/>
        <w:jc w:val="left"/>
        <w:rPr>
          <w:rFonts w:hint="eastAsia" w:ascii="微软雅黑" w:hAnsi="微软雅黑" w:eastAsia="微软雅黑" w:cs="微软雅黑"/>
          <w:i w:val="0"/>
          <w:iCs w:val="0"/>
          <w:caps w:val="0"/>
          <w:color w:val="000000"/>
          <w:spacing w:val="0"/>
          <w:sz w:val="24"/>
          <w:szCs w:val="24"/>
        </w:rPr>
      </w:pPr>
      <w:r>
        <w:rPr>
          <w:rStyle w:val="8"/>
          <w:rFonts w:hint="eastAsia" w:ascii="仿宋" w:hAnsi="仿宋" w:eastAsia="仿宋" w:cs="仿宋"/>
          <w:i w:val="0"/>
          <w:iCs w:val="0"/>
          <w:caps w:val="0"/>
          <w:color w:val="000000"/>
          <w:spacing w:val="0"/>
          <w:sz w:val="31"/>
          <w:szCs w:val="31"/>
          <w:bdr w:val="none" w:color="auto" w:sz="0" w:space="0"/>
          <w:shd w:val="clear" w:fill="FFFFFF"/>
        </w:rPr>
        <w:t>    </w:t>
      </w:r>
      <w:r>
        <w:rPr>
          <w:rStyle w:val="8"/>
          <w:rFonts w:ascii="楷体" w:hAnsi="楷体" w:eastAsia="楷体" w:cs="楷体"/>
          <w:i w:val="0"/>
          <w:iCs w:val="0"/>
          <w:caps w:val="0"/>
          <w:color w:val="000000"/>
          <w:spacing w:val="0"/>
          <w:sz w:val="24"/>
          <w:szCs w:val="24"/>
          <w:bdr w:val="none" w:color="auto" w:sz="0" w:space="0"/>
          <w:shd w:val="clear" w:fill="FFFFFF"/>
        </w:rPr>
        <w:t>（</w:t>
      </w:r>
      <w:r>
        <w:rPr>
          <w:rStyle w:val="8"/>
          <w:rFonts w:hint="eastAsia" w:ascii="楷体" w:hAnsi="楷体" w:eastAsia="楷体" w:cs="楷体"/>
          <w:i w:val="0"/>
          <w:iCs w:val="0"/>
          <w:caps w:val="0"/>
          <w:color w:val="000000"/>
          <w:spacing w:val="0"/>
          <w:sz w:val="24"/>
          <w:szCs w:val="24"/>
          <w:bdr w:val="none" w:color="auto" w:sz="0" w:space="0"/>
          <w:shd w:val="clear" w:fill="FFFFFF"/>
        </w:rPr>
        <w:t>1）</w:t>
      </w:r>
      <w:r>
        <w:rPr>
          <w:rStyle w:val="8"/>
          <w:rFonts w:hint="eastAsia" w:ascii="楷体" w:hAnsi="楷体" w:eastAsia="楷体" w:cs="楷体"/>
          <w:i w:val="0"/>
          <w:iCs w:val="0"/>
          <w:caps w:val="0"/>
          <w:color w:val="000000"/>
          <w:spacing w:val="15"/>
          <w:sz w:val="24"/>
          <w:szCs w:val="24"/>
          <w:bdr w:val="none" w:color="auto" w:sz="0" w:space="0"/>
          <w:shd w:val="clear" w:fill="FFFFFF"/>
        </w:rPr>
        <w:t>从“深”发力，全面提升各项工作质量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1、医疗工作。一是业务学习毫不松懈。</w:t>
      </w:r>
      <w:r>
        <w:rPr>
          <w:rFonts w:hint="eastAsia" w:ascii="宋体" w:hAnsi="宋体" w:eastAsia="宋体" w:cs="宋体"/>
          <w:i w:val="0"/>
          <w:iCs w:val="0"/>
          <w:caps w:val="0"/>
          <w:color w:val="000000"/>
          <w:spacing w:val="0"/>
          <w:sz w:val="24"/>
          <w:szCs w:val="24"/>
          <w:bdr w:val="none" w:color="auto" w:sz="0" w:space="0"/>
          <w:shd w:val="clear" w:fill="FFFFFF"/>
        </w:rPr>
        <w:t>多次邀请省市三级医院专家来院进行重症医学相关知识、中医常见病诊疗方案等方面的授课、查房10余次；组织全院174名医护人员参加了全省县级医院医务人员急诊急救能力培训和第一目击者培训（其中医师71人，护士103人），现场模拟了呼吸心跳停止进行心肺复苏的急诊急救训练及呼吸机和除颤仪理论与实践相关知识的学习，理论、操作全部通过省里考核；全年共选送9名医护人员赴外进行中长期轮训、进修，20余名医护人员外出短期培训、学习；在县卫健局的牵头组织下，医院还承办了全县乡镇卫生院医务人员中医药优势病种诊疗方案及中医适宜技术培训，人人通过了考核。</w:t>
      </w:r>
      <w:r>
        <w:rPr>
          <w:rStyle w:val="8"/>
          <w:rFonts w:hint="eastAsia" w:ascii="宋体" w:hAnsi="宋体" w:eastAsia="宋体" w:cs="宋体"/>
          <w:i w:val="0"/>
          <w:iCs w:val="0"/>
          <w:caps w:val="0"/>
          <w:color w:val="000000"/>
          <w:spacing w:val="0"/>
          <w:sz w:val="24"/>
          <w:szCs w:val="24"/>
          <w:bdr w:val="none" w:color="auto" w:sz="0" w:space="0"/>
          <w:shd w:val="clear" w:fill="FFFFFF"/>
        </w:rPr>
        <w:t>二是学科建设成效明显。</w:t>
      </w:r>
      <w:r>
        <w:rPr>
          <w:rFonts w:hint="eastAsia" w:ascii="宋体" w:hAnsi="宋体" w:eastAsia="宋体" w:cs="宋体"/>
          <w:i w:val="0"/>
          <w:iCs w:val="0"/>
          <w:caps w:val="0"/>
          <w:color w:val="000000"/>
          <w:spacing w:val="0"/>
          <w:sz w:val="24"/>
          <w:szCs w:val="24"/>
          <w:bdr w:val="none" w:color="auto" w:sz="0" w:space="0"/>
          <w:shd w:val="clear" w:fill="FFFFFF"/>
        </w:rPr>
        <w:t>与南华附二重症医学科携手合作的重症医学科从年初成立以来，已开展了立体定向软通道颅内血肿微创清除术等12项院内新技术，其中有3项填补了县内空白，成功抢救急性心梗、脑血管意外及外伤危重病人多起；截止到目前共收治重症患者151余人次，疗效明显，为县域内急危重症患者的救治提供了有效保障。同时，为进一步优化老年人就医环境，今年初医院特成立了老年医学科，通过从老年人的就医管理、氛围、环境、文化等方面入手多措并举，结合肿瘤科安宁疗护的试点，发展势头强劲，患者就医感觉良好，医院效率得到提升。今年10月份，医院被作为市内优秀老年友善医疗机构推荐到省里参评。</w:t>
      </w:r>
      <w:r>
        <w:rPr>
          <w:rStyle w:val="8"/>
          <w:rFonts w:hint="eastAsia" w:ascii="宋体" w:hAnsi="宋体" w:eastAsia="宋体" w:cs="宋体"/>
          <w:i w:val="0"/>
          <w:iCs w:val="0"/>
          <w:caps w:val="0"/>
          <w:color w:val="000000"/>
          <w:spacing w:val="0"/>
          <w:sz w:val="24"/>
          <w:szCs w:val="24"/>
          <w:bdr w:val="none" w:color="auto" w:sz="0" w:space="0"/>
          <w:shd w:val="clear" w:fill="FFFFFF"/>
        </w:rPr>
        <w:t>三是院内考核从深从严。</w:t>
      </w:r>
      <w:r>
        <w:rPr>
          <w:rFonts w:hint="eastAsia" w:ascii="宋体" w:hAnsi="宋体" w:eastAsia="宋体" w:cs="宋体"/>
          <w:i w:val="0"/>
          <w:iCs w:val="0"/>
          <w:caps w:val="0"/>
          <w:color w:val="000000"/>
          <w:spacing w:val="0"/>
          <w:sz w:val="24"/>
          <w:szCs w:val="24"/>
          <w:bdr w:val="none" w:color="auto" w:sz="0" w:space="0"/>
          <w:shd w:val="clear" w:fill="FFFFFF"/>
        </w:rPr>
        <w:t>每月一次的医疗质量督查，重点对各科室临床危急值、学习记录、科室质量、中医特色优势发挥以及十八项核心制度的落实情况开展实行动态监测，落实奖惩并一月一总结一通报；加强对临床用药的管理与考核，进一步加强了对科室用药情况的审查，严格自费药品审批，加大对超限用药的处罚。</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2、护理工作。</w:t>
      </w:r>
      <w:r>
        <w:rPr>
          <w:rFonts w:hint="eastAsia" w:ascii="宋体" w:hAnsi="宋体" w:eastAsia="宋体" w:cs="宋体"/>
          <w:i w:val="0"/>
          <w:iCs w:val="0"/>
          <w:caps w:val="0"/>
          <w:color w:val="000000"/>
          <w:spacing w:val="0"/>
          <w:sz w:val="24"/>
          <w:szCs w:val="24"/>
          <w:bdr w:val="none" w:color="auto" w:sz="0" w:space="0"/>
          <w:shd w:val="clear" w:fill="FFFFFF"/>
        </w:rPr>
        <w:t>今年，医院根据《湖南省卫生健康委对优质护理验收评价》要求，进一步全面优化优质护理服务质量，建立完善了管理组织体系，建立健全《护理制度汇编》等系列规章制度，引进了护理助手管理系统，对护理质量的各项指标利用网络进行科学的管理及分析。进一步加强了护士的素质教育，全面开展理论及专科技能训练与考核工作，组织线上学习10次，参培率100%；现场培训20场次；进行三基理论考核20场次272人次，合格率达90%以上。对新入职的11名护士进行了轮科培训，上岗前均进行考核，合格率100%。为庆祝“5.12国际护士节”，医院组织全体护士进行了党史知识及中医三基知识竞赛，表彰了一大批优秀护理工作者。我院选送的两位护理人员参加了县卫健系统党史知识竞赛，分别取得了第一和第三名的好成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3、感控工作。</w:t>
      </w:r>
      <w:r>
        <w:rPr>
          <w:rFonts w:hint="eastAsia" w:ascii="宋体" w:hAnsi="宋体" w:eastAsia="宋体" w:cs="宋体"/>
          <w:i w:val="0"/>
          <w:iCs w:val="0"/>
          <w:caps w:val="0"/>
          <w:color w:val="000000"/>
          <w:spacing w:val="0"/>
          <w:sz w:val="24"/>
          <w:szCs w:val="24"/>
          <w:bdr w:val="none" w:color="auto" w:sz="0" w:space="0"/>
          <w:shd w:val="clear" w:fill="FFFFFF"/>
        </w:rPr>
        <w:t>全年共组织新冠肺炎感染防控等知识培训共37次，分别于5月25日、11月12日召开医院感染管理委员会议，与科室签订院感管理责任状，每月对全院各科室、院感重点部门进行质控检查。全年医院共进行空气、环境物表、透析液等微生物监测采样828份，合格率99.98%；对I类手术、ICU重症监护病人定期进行目标性监测，除2例外科手术病人发生医院感染外，其余感染率均为0；全年共监测患者5890人次，发生医院感染10例，感染率为0.17%，均及时进行分析、总结并进行改进；在多重耐药菌监测中，共检测出多重耐药菌19株，无医院感染患者；按照《医疗废物管理条例》，对医疗废物进行正确分类、交接、储存、运送，全年共产生感染性废物40304.675kg,损伤性废物2448.34kg,可回收废物中塑料瓶6331.16kg,玻璃瓶6086.33kg，均交由衡兴环保医疗废物处置中心统一处置。通过全院职工的共同努力，认真落实疫情防控各项措施，坚决做到了院内感染零发生。</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both"/>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（2）</w:t>
      </w:r>
      <w:r>
        <w:rPr>
          <w:rStyle w:val="8"/>
          <w:rFonts w:hint="eastAsia" w:ascii="宋体" w:hAnsi="宋体" w:eastAsia="宋体" w:cs="宋体"/>
          <w:i w:val="0"/>
          <w:iCs w:val="0"/>
          <w:caps w:val="0"/>
          <w:color w:val="000000"/>
          <w:spacing w:val="15"/>
          <w:sz w:val="24"/>
          <w:szCs w:val="24"/>
          <w:bdr w:val="none" w:color="auto" w:sz="0" w:space="0"/>
          <w:shd w:val="clear" w:fill="FFFFFF"/>
        </w:rPr>
        <w:t>从“严”管控，全力提升</w:t>
      </w:r>
      <w:r>
        <w:rPr>
          <w:rStyle w:val="8"/>
          <w:rFonts w:hint="eastAsia" w:ascii="宋体" w:hAnsi="宋体" w:eastAsia="宋体" w:cs="宋体"/>
          <w:i w:val="0"/>
          <w:iCs w:val="0"/>
          <w:caps w:val="0"/>
          <w:color w:val="000000"/>
          <w:spacing w:val="0"/>
          <w:sz w:val="24"/>
          <w:szCs w:val="24"/>
          <w:bdr w:val="none" w:color="auto" w:sz="0" w:space="0"/>
          <w:shd w:val="clear" w:fill="FFFFFF"/>
        </w:rPr>
        <w:t>基础建设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both"/>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首先是继续打好院内新冠疫情持久战。进一步完善基础设施建设，投资10余万元对发热门诊进行了全面改造，重新建造了肠道门诊场地，购置了快检核酸设备1台，负压救护车1台，继续多批次采购了紫外线消毒车、空气消毒机等防控设备，为大门、住院部出口安装了门禁系统。长期以来，由医院班子带领行政职能科室每天深入科室、基层进行防控措施的督查，每天一通报，即时整改。制定了疑似病例接诊、转诊方案，联合多部门进行了疑似病例转诊、疫苗接种异常反应救治预案演练5次，以提高全院工作人员疫情防控风险意识、疑似病例处置能力及疫苗接种异常反应救治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both"/>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其次是继续配合全县疫情防控调度。根据县防控办的统一部署，我院组织全县基层卫生单位工作人员进行疫情防控知识及技能培训2次；同时，我院PCR实验室不仅承担了本院和县直属单位定期核酸检测任务，还承担了县域内16个乡镇卫生院送检的核酸标本检测，全年共检测了7万余人次。为积极响应国家全员接种政策，医院临时搭建了新冠疫苗接种点，购置了相关配套设施设备，为全县人民接种新冠疫苗2.2万余人次，院内职工100%完成了加强针的接种。</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both"/>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（3）</w:t>
      </w:r>
      <w:r>
        <w:rPr>
          <w:rStyle w:val="8"/>
          <w:rFonts w:hint="eastAsia" w:ascii="宋体" w:hAnsi="宋体" w:eastAsia="宋体" w:cs="宋体"/>
          <w:i w:val="0"/>
          <w:iCs w:val="0"/>
          <w:caps w:val="0"/>
          <w:color w:val="000000"/>
          <w:spacing w:val="15"/>
          <w:sz w:val="24"/>
          <w:szCs w:val="24"/>
          <w:bdr w:val="none" w:color="auto" w:sz="0" w:space="0"/>
          <w:shd w:val="clear" w:fill="FFFFFF"/>
        </w:rPr>
        <w:t>从“新”着力，全力提升综合发展实力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是加大人才引进力度。今年来，我院共参加省、市各大型招聘会5次，院内举行招聘考试2次。通过多渠道引进专业技术人才共21名，其中医师10名，护士11名。同时，通过开辟绿色通道及系列招聘优惠政策，年内又与2名硕士研究生达成了聘用意向，在11月份成功引进肿瘤内科学科带头人1人，引进规培生3人。今年下半年，在县卫健系统公开招聘卫生专业技术人员考试中，我院计划招聘35人，目前已通过资格审查拟录用30人，其中中医学15人、临床医学4人、针灸推拿1人、医学影像2人、护理7人、医学检验1人、药学2人、财会2人、计算机1人。综合下来，医院各个专业的技术人员均得到进一步夯实。二是加大人员培训力度。全年共开展院内业务知识培训20余次，邀请省、市三甲医院专家来院授课10余次；组织疫情防控、三基等知识考核6次；选派业务骨干参加学术会议培训40余次，派出5名医务人员到上级医院进修；鼓励职工职称晋升：7人通过高级职称笔试，6人进行面试阶段；22人通过初、中级职称考试，其中中级职称11人，初级职称11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4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（4）</w:t>
      </w:r>
      <w:r>
        <w:rPr>
          <w:rStyle w:val="8"/>
          <w:rFonts w:hint="eastAsia" w:ascii="宋体" w:hAnsi="宋体" w:eastAsia="宋体" w:cs="宋体"/>
          <w:i w:val="0"/>
          <w:iCs w:val="0"/>
          <w:caps w:val="0"/>
          <w:color w:val="000000"/>
          <w:spacing w:val="15"/>
          <w:sz w:val="24"/>
          <w:szCs w:val="24"/>
          <w:bdr w:val="none" w:color="auto" w:sz="0" w:space="0"/>
          <w:shd w:val="clear" w:fill="FFFFFF"/>
        </w:rPr>
        <w:t>从“细”谋划，全力提升经济运行质量</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今年来，医院认真进行年终决算和科学合理编制财务预算，结合二级公立医院改革、绩效考核以及经济管理年评审等活动，医院财务管理、成本核算等工作步上了新台阶。一是全面加强了对所有采购项目的审核把关。全年来，除医疗设备外的所有项目均在湖南省电子卖场上公开、公平、透明采购，超过限额标准均办理好政府采购备案。二是进行预算管理改革，加强成本核算。面对疫情形势下的经济状况，医院加强了预算支出的成本管控，在合理调度资金的前提下尽可能减少经费支出，最大限度提高资金的使用效率和效益。例如今年来，我院各科室申请大小设备维修达200余次，其中大部分均由设备科、总务科工作人员自行维修解决。今年6月份，国家机关事务管理局、国家发展改革委、财政部联合下文授予我院“节约型公共机构示范单位”荣誉称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0"/>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　　（5）从“实”发展，全力提升患者就医环境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是通过医院微官网、公众号等信息平台努力弘扬中医特色文化，不断宣传医院抗疫先进典型、传播行业正能量。全年电子显示屏更新播放关于创建卫生文明城市、安全生产、扫黑除恶、艾滋病日、无烟日、普法等宣传内容达200余次，积极营造各种活动氛围；更新制作了标识、标牌、展架、海报等宣传资料共计5300余份；共发布医院推文69篇，其中被县内平台录用9篇，市级平台录用33篇，省级平台录用12篇。二是完善、健全了医院信息网络系统。作为全县唯一职业健康监护医院，及时将新的体检系统应用上线，极大地方便了职业病体检及健康体检人员；今年下半年，国家医保平台的更新上线，参保人员通过医保电子凭证，在身份认证和授权、医保扫码支付等场景中均可使用，做到了“四统一”（系统统一、报付政策统一、编码统一、目录统一），逐步实现参保人员看病、结算“码”上搞好，达到了从“患者跑腿”向“数据跑路”的高效服务转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（6）从“全”完善，全面掌握意识形态主导权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值此中国共产党成立100周年之际，医院党支部进一步在发展建设中发挥政治引领作用，利用周会、微信工作群等形式多次组织全院职工进行党史学习教育宣讲，学习习近平总书记系列讲话，导引干部职工强化责任意识，增强职工的四个自信，带领职工树立正确的人生观、价值观和世界观。同时，医院组织党员参观了岳北农工会、夏明翰故居等党性教育基地；指导工会、团总支、妇委会筹划组织开展了“丹心学党史 巾帼促春耕”三八妇女节活动、庆祝建党100周年“杏林芳华越千年”情景舞蹈剧编排、“党的光辉照我心”红色故事演讲比赛、湖南省第二届中医药科普中医院针灸趣谈轻喜剧等系列活动。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（7）重症监护病区扩建项目</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2021年我院项目支出核算内容为完成ICU重症室扩建建设支出。2020年8月20日在我院官网上发布了ICU建设的设计邀请，9月8日对应邀报价的24家设计公司进行了评审，最终确定由中衡设计集团股份有限公司设计方案（甲级）。9月14日，该公司出具了ICU平面图，9月16日完成了修改，并于当天通过了市卫健委的院感审核并备案；9月25日出具了ICU施工图，9月26-28日仅用3天完成了第三方公司预算及财政评审；9月29日，在湖南省政府采购网上发布了《衡山县中医医院重症监护病区改扩建工程政府采购项目竞争性磋商邀请公告》，10月26日开标，中标公司为湖南福临建设工程有限公司，10月28日签订施工合同并于同日进场施工建设；10月30日确定湖南雁能设计研究有限公司为项目监理公司；11月2日《关于申请延期办理重症监护病区改扩建项目报建手续和减免审批费用的报告》通过县领导、县住房和城乡建设局审批；11月05日会议确定ICU负压救护车采购参数；11月9日对ICU医疗设备采购进口产品进行专家论证，并于11月9日-11月10日通过县卫健局、县采购办、市卫健委、市财政局审批，11月12日在湖南省政府采购网上发布了《衡山县中医医院重症监护病区改扩建项目配套医疗设备器械一批政府采购项目公开招标公告》；11月9日在湖南省政府采购平台电子卖场发布了《衡山县重症监护病区改扩建项目配套电梯采购及安装项目邀请公告》，11月13日开标，中标公司为湖南京武机电科技有限公司；11月11日召开工程协调会议，建设方、施工方、监理方就施工内容、安全、现场管理进行讨论，保证了工程有序推进；11月25日召开四方协调会，对施工进度、现场管理、材料变更进行了研讨，按照剩余时间施工方重新制定了进度计划表；12月3日ICU医疗设备采购开标，分八个包八家公司中标，12月7日举行签约仪式，邀请了县卫健局副局长周林华、县发改局党组成员廖国军参加；2021年1月26日ICU医疗设备通过专家验收；2021年2月24日重症医学科正式运行；2021年3月12日我院与南华大学附属第二医院危急重症医学紧密型专科联盟正式签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58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ICU重症监护病区扩建项目填补了我县急危重症救治能力不足短板，提高了我院疫情处置应对水平以及形成快速反应的调集机制，具备了发生局部聚集性疫情时较短时间内完成人群应急救助能力。</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仿宋" w:hAnsi="仿宋" w:eastAsia="仿宋" w:cs="仿宋"/>
          <w:i w:val="0"/>
          <w:iCs w:val="0"/>
          <w:caps w:val="0"/>
          <w:color w:val="000000"/>
          <w:spacing w:val="0"/>
          <w:sz w:val="24"/>
          <w:szCs w:val="24"/>
          <w:bdr w:val="none" w:color="auto" w:sz="0" w:space="0"/>
          <w:shd w:val="clear" w:fill="FFFFFF"/>
        </w:rPr>
        <w:t>（8）、“三公经费”支出使用和管理情况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both"/>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至2021年12月止“三公”经费开支情况表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0"/>
        <w:jc w:val="righ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1"/>
          <w:szCs w:val="21"/>
          <w:bdr w:val="none" w:color="auto" w:sz="0" w:space="0"/>
          <w:shd w:val="clear" w:fill="FFFFFF"/>
        </w:rPr>
        <w:t>                           </w:t>
      </w:r>
      <w:r>
        <w:rPr>
          <w:rFonts w:hint="eastAsia" w:ascii="宋体" w:hAnsi="宋体" w:eastAsia="宋体" w:cs="宋体"/>
          <w:i w:val="0"/>
          <w:iCs w:val="0"/>
          <w:caps w:val="0"/>
          <w:color w:val="000000"/>
          <w:spacing w:val="0"/>
          <w:sz w:val="24"/>
          <w:szCs w:val="24"/>
          <w:bdr w:val="none" w:color="auto" w:sz="0" w:space="0"/>
          <w:shd w:val="clear" w:fill="FFFFFF"/>
        </w:rPr>
        <w:t>单位：万元</w:t>
      </w:r>
    </w:p>
    <w:tbl>
      <w:tblPr>
        <w:tblW w:w="8760" w:type="dxa"/>
        <w:tblInd w:w="0" w:type="dxa"/>
        <w:tblBorders>
          <w:top w:val="none" w:color="auto" w:sz="0" w:space="0"/>
          <w:left w:val="none" w:color="auto" w:sz="0" w:space="0"/>
          <w:bottom w:val="single" w:color="999999" w:sz="6" w:space="0"/>
          <w:right w:val="single" w:color="999999"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1908"/>
        <w:gridCol w:w="1623"/>
        <w:gridCol w:w="1623"/>
        <w:gridCol w:w="1983"/>
        <w:gridCol w:w="1623"/>
      </w:tblGrid>
      <w:tr>
        <w:tblPrEx>
          <w:tblBorders>
            <w:top w:val="none" w:color="auto" w:sz="0" w:space="0"/>
            <w:left w:val="none" w:color="auto" w:sz="0" w:space="0"/>
            <w:bottom w:val="single" w:color="999999" w:sz="6" w:space="0"/>
            <w:right w:val="single" w:color="999999" w:sz="6" w:space="0"/>
            <w:insideH w:val="none" w:color="auto" w:sz="0" w:space="0"/>
            <w:insideV w:val="none" w:color="auto" w:sz="0" w:space="0"/>
          </w:tblBorders>
          <w:shd w:val="clear" w:color="auto" w:fill="FFFFFF"/>
          <w:tblCellMar>
            <w:top w:w="15" w:type="dxa"/>
            <w:left w:w="15" w:type="dxa"/>
            <w:bottom w:w="15" w:type="dxa"/>
            <w:right w:w="15" w:type="dxa"/>
          </w:tblCellMar>
        </w:tblPrEx>
        <w:trPr>
          <w:trHeight w:val="525" w:hRule="atLeast"/>
        </w:trPr>
        <w:tc>
          <w:tcPr>
            <w:tcW w:w="1905" w:type="dxa"/>
            <w:tcBorders>
              <w:top w:val="single" w:color="auto" w:sz="6" w:space="0"/>
              <w:left w:val="single" w:color="auto" w:sz="6" w:space="0"/>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项</w:t>
            </w:r>
            <w:r>
              <w:rPr>
                <w:rFonts w:hint="eastAsia" w:ascii="微软雅黑" w:hAnsi="微软雅黑" w:eastAsia="微软雅黑" w:cs="微软雅黑"/>
                <w:i w:val="0"/>
                <w:iCs w:val="0"/>
                <w:caps w:val="0"/>
                <w:color w:val="000000"/>
                <w:spacing w:val="0"/>
                <w:sz w:val="21"/>
                <w:szCs w:val="21"/>
                <w:bdr w:val="none" w:color="auto" w:sz="0" w:space="0"/>
              </w:rPr>
              <w:t>     </w:t>
            </w:r>
            <w:r>
              <w:rPr>
                <w:rFonts w:hint="eastAsia" w:ascii="微软雅黑" w:hAnsi="微软雅黑" w:eastAsia="微软雅黑" w:cs="微软雅黑"/>
                <w:i w:val="0"/>
                <w:iCs w:val="0"/>
                <w:caps w:val="0"/>
                <w:color w:val="000000"/>
                <w:spacing w:val="0"/>
                <w:sz w:val="24"/>
                <w:szCs w:val="24"/>
                <w:bdr w:val="none" w:color="auto" w:sz="0" w:space="0"/>
              </w:rPr>
              <w:t>目</w:t>
            </w:r>
          </w:p>
        </w:tc>
        <w:tc>
          <w:tcPr>
            <w:tcW w:w="1620" w:type="dxa"/>
            <w:tcBorders>
              <w:top w:val="single" w:color="auto" w:sz="6" w:space="0"/>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2020年</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决算金额</w:t>
            </w:r>
          </w:p>
        </w:tc>
        <w:tc>
          <w:tcPr>
            <w:tcW w:w="1620" w:type="dxa"/>
            <w:tcBorders>
              <w:top w:val="single" w:color="auto" w:sz="6" w:space="0"/>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2021年</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决算金额</w:t>
            </w:r>
          </w:p>
        </w:tc>
        <w:tc>
          <w:tcPr>
            <w:tcW w:w="1980" w:type="dxa"/>
            <w:tcBorders>
              <w:top w:val="single" w:color="auto" w:sz="6" w:space="0"/>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增减情况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（2020年-2021年）</w:t>
            </w:r>
          </w:p>
        </w:tc>
        <w:tc>
          <w:tcPr>
            <w:tcW w:w="1620" w:type="dxa"/>
            <w:tcBorders>
              <w:top w:val="single" w:color="auto" w:sz="6" w:space="0"/>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比上年同期</w:t>
            </w:r>
          </w:p>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增减率(%)</w:t>
            </w:r>
          </w:p>
        </w:tc>
      </w:tr>
      <w:tr>
        <w:tblPrEx>
          <w:tblBorders>
            <w:top w:val="none" w:color="auto" w:sz="0" w:space="0"/>
            <w:left w:val="none" w:color="auto" w:sz="0" w:space="0"/>
            <w:bottom w:val="single" w:color="999999" w:sz="6" w:space="0"/>
            <w:right w:val="single" w:color="999999" w:sz="6"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1905" w:type="dxa"/>
            <w:tcBorders>
              <w:top w:val="nil"/>
              <w:left w:val="single" w:color="auto" w:sz="6" w:space="0"/>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公务接待费</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98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r>
      <w:tr>
        <w:tblPrEx>
          <w:tblBorders>
            <w:top w:val="none" w:color="auto" w:sz="0" w:space="0"/>
            <w:left w:val="none" w:color="auto" w:sz="0" w:space="0"/>
            <w:bottom w:val="single" w:color="999999" w:sz="6" w:space="0"/>
            <w:right w:val="single" w:color="999999"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905" w:type="dxa"/>
            <w:tcBorders>
              <w:top w:val="nil"/>
              <w:left w:val="single" w:color="auto" w:sz="6" w:space="0"/>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公车运行维护费</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98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r>
      <w:tr>
        <w:tblPrEx>
          <w:tblBorders>
            <w:top w:val="none" w:color="auto" w:sz="0" w:space="0"/>
            <w:left w:val="none" w:color="auto" w:sz="0" w:space="0"/>
            <w:bottom w:val="single" w:color="999999" w:sz="6" w:space="0"/>
            <w:right w:val="single" w:color="999999" w:sz="6" w:space="0"/>
            <w:insideH w:val="none" w:color="auto" w:sz="0" w:space="0"/>
            <w:insideV w:val="none" w:color="auto" w:sz="0" w:space="0"/>
          </w:tblBorders>
          <w:tblCellMar>
            <w:top w:w="15" w:type="dxa"/>
            <w:left w:w="15" w:type="dxa"/>
            <w:bottom w:w="15" w:type="dxa"/>
            <w:right w:w="15" w:type="dxa"/>
          </w:tblCellMar>
        </w:tblPrEx>
        <w:trPr>
          <w:trHeight w:val="495" w:hRule="atLeast"/>
        </w:trPr>
        <w:tc>
          <w:tcPr>
            <w:tcW w:w="1905" w:type="dxa"/>
            <w:tcBorders>
              <w:top w:val="nil"/>
              <w:left w:val="single" w:color="auto" w:sz="6" w:space="0"/>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left"/>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因公出国出境费用</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98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r>
      <w:tr>
        <w:tblPrEx>
          <w:tblBorders>
            <w:top w:val="none" w:color="auto" w:sz="0" w:space="0"/>
            <w:left w:val="none" w:color="auto" w:sz="0" w:space="0"/>
            <w:bottom w:val="single" w:color="999999" w:sz="6" w:space="0"/>
            <w:right w:val="single" w:color="999999" w:sz="6" w:space="0"/>
            <w:insideH w:val="none" w:color="auto" w:sz="0" w:space="0"/>
            <w:insideV w:val="none" w:color="auto" w:sz="0" w:space="0"/>
          </w:tblBorders>
          <w:tblCellMar>
            <w:top w:w="15" w:type="dxa"/>
            <w:left w:w="15" w:type="dxa"/>
            <w:bottom w:w="15" w:type="dxa"/>
            <w:right w:w="15" w:type="dxa"/>
          </w:tblCellMar>
        </w:tblPrEx>
        <w:trPr>
          <w:trHeight w:val="525" w:hRule="atLeast"/>
        </w:trPr>
        <w:tc>
          <w:tcPr>
            <w:tcW w:w="1905" w:type="dxa"/>
            <w:tcBorders>
              <w:top w:val="nil"/>
              <w:left w:val="single" w:color="auto" w:sz="6" w:space="0"/>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合</w:t>
            </w:r>
            <w:r>
              <w:rPr>
                <w:rFonts w:hint="eastAsia" w:ascii="微软雅黑" w:hAnsi="微软雅黑" w:eastAsia="微软雅黑" w:cs="微软雅黑"/>
                <w:i w:val="0"/>
                <w:iCs w:val="0"/>
                <w:caps w:val="0"/>
                <w:color w:val="000000"/>
                <w:spacing w:val="0"/>
                <w:sz w:val="21"/>
                <w:szCs w:val="21"/>
                <w:bdr w:val="none" w:color="auto" w:sz="0" w:space="0"/>
              </w:rPr>
              <w:t>    </w:t>
            </w:r>
            <w:r>
              <w:rPr>
                <w:rFonts w:hint="eastAsia" w:ascii="微软雅黑" w:hAnsi="微软雅黑" w:eastAsia="微软雅黑" w:cs="微软雅黑"/>
                <w:i w:val="0"/>
                <w:iCs w:val="0"/>
                <w:caps w:val="0"/>
                <w:color w:val="000000"/>
                <w:spacing w:val="0"/>
                <w:sz w:val="24"/>
                <w:szCs w:val="24"/>
                <w:bdr w:val="none" w:color="auto" w:sz="0" w:space="0"/>
              </w:rPr>
              <w:t>计</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98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c>
          <w:tcPr>
            <w:tcW w:w="1620" w:type="dxa"/>
            <w:tcBorders>
              <w:top w:val="nil"/>
              <w:left w:val="nil"/>
              <w:bottom w:val="nil"/>
              <w:right w:val="nil"/>
            </w:tcBorders>
            <w:shd w:val="clear" w:color="auto" w:fill="FFFFFF"/>
            <w:tcMar>
              <w:top w:w="0" w:type="dxa"/>
              <w:left w:w="105" w:type="dxa"/>
              <w:bottom w:w="0"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55" w:lineRule="atLeast"/>
              <w:ind w:left="0" w:right="0"/>
              <w:jc w:val="center"/>
              <w:rPr>
                <w:rFonts w:hint="eastAsia" w:ascii="微软雅黑" w:hAnsi="微软雅黑" w:eastAsia="微软雅黑" w:cs="微软雅黑"/>
                <w:sz w:val="24"/>
                <w:szCs w:val="24"/>
              </w:rPr>
            </w:pPr>
            <w:r>
              <w:rPr>
                <w:rFonts w:hint="eastAsia" w:ascii="微软雅黑" w:hAnsi="微软雅黑" w:eastAsia="微软雅黑" w:cs="微软雅黑"/>
                <w:i w:val="0"/>
                <w:iCs w:val="0"/>
                <w:caps w:val="0"/>
                <w:color w:val="000000"/>
                <w:spacing w:val="0"/>
                <w:sz w:val="24"/>
                <w:szCs w:val="24"/>
                <w:bdr w:val="none" w:color="auto" w:sz="0" w:space="0"/>
              </w:rPr>
              <w:t>0</w:t>
            </w: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至2021年12月止“三公”经费财政拨款支出决算中，因公出国（境）费支出决算0万元，占0%；公务用车购置及运行维护费支出决算0万元，占0%；公务接待费支出决算0万元，占0%。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五、绩效评价工作情况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根据县财政局2021年直达资金支出绩效管理目标任务的相关文件精神，依照绩效评价有关规定，本院成立了绩效评价工作领导小组，并依据《部门整体支出绩效评价指标表》、《部门整体支出绩效评价基础数据表》组织开展2021年部门整体支出绩效评价工作，采取座谈等方式听取情况，检查基本支出、项目支出有关项目，收集整理支出相关资料，并根据各部门的报送材料进行分析，形成评价结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六、综合评价结果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根据《部门整体支出绩效评价指标》评分，得分95分，财政支出绩效为“良”。</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七、部门整体支出绩效情况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至2021年12月止，我院在县委县政府的正确领导及各级各部门的关心支持下，全院职工上下齐心，攻坚克难，始终坚持“一切以病人为中心”的服务宗旨，积极履行公立医院的社会职能，顺利地完成了各项工作，保障了单位正常工作运转。通过加强预算收支管理，不断建立健全内部管理制度，梳理内部管理流程，部门整体支出管理水平得到提升。规范使用项目资金，统筹推进项目进度，做到专款专用，无截留、挤占和挪用行为；制定了较为完善的财务内部控制管理制度，如《公务出差管理制度》《公务派车（租车）有关规定》《医务人员外出进修、培训管理规定》《药品、设备、耗材采购管理制度》等，加强了审计科内部审计的监督力量，建立健全了财务会计内控制度；人员编制、三公经费无变动；预算执行比较到位；管理制度健全，资金使用合规。社会满意度高，进一步提高了医疗服务水平，医院建设又迈上一个新台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八、存在的主要问题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2021年医院做了大量的工作，取得了一定的成效，但是发展任务仍然艰巨。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一）自2020年突发的新冠肺炎疫情以来，医院门诊量、住院病人量大幅减少，收入断崖式下降。面对严峻的疫情形势，我院责无旁贷地加入了疫情第一线，按疫情防控要求，重新配置医疗资源，开设发热门诊，建立隔离病房，选派优秀医务人员支援疫苗注射和核酸检测，为了防范医院交叉感染，医院加大防控建设投入，导致医院因防控成本支出大幅上升，运营成本大幅增加，自公立医院改革取消药品加成后于2020年1月开始又全面取消耗材加成，医疗服务补偿机制不足以弥补其亏损，无疑加速了医院的经济紧张。</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（二）人才匮乏，成为医院发展难题。新的无法补充，老、中、青人才梯队严重断层，迫切需要优秀学科带头人的加入，人才匮乏成为我院发展的一道难题。</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（三）全国中医医院平均住院费用仅为综合医院费用的60%左右，中医药具有“简捷、高效、廉价”等特点，在医保政策方面对中医的倾斜力度不够，鼓励选择中医治疗，有效缓解人民群众看病贵的局面。</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405" w:right="0" w:firstLine="315"/>
        <w:jc w:val="left"/>
        <w:rPr>
          <w:rFonts w:hint="eastAsia" w:ascii="微软雅黑" w:hAnsi="微软雅黑" w:eastAsia="微软雅黑" w:cs="微软雅黑"/>
          <w:i w:val="0"/>
          <w:iCs w:val="0"/>
          <w:caps w:val="0"/>
          <w:color w:val="000000"/>
          <w:spacing w:val="0"/>
          <w:sz w:val="24"/>
          <w:szCs w:val="24"/>
        </w:rPr>
      </w:pPr>
      <w:r>
        <w:rPr>
          <w:rStyle w:val="8"/>
          <w:rFonts w:hint="eastAsia" w:ascii="宋体" w:hAnsi="宋体" w:eastAsia="宋体" w:cs="宋体"/>
          <w:i w:val="0"/>
          <w:iCs w:val="0"/>
          <w:caps w:val="0"/>
          <w:color w:val="000000"/>
          <w:spacing w:val="0"/>
          <w:sz w:val="24"/>
          <w:szCs w:val="24"/>
          <w:bdr w:val="none" w:color="auto" w:sz="0" w:space="0"/>
          <w:shd w:val="clear" w:fill="FFFFFF"/>
        </w:rPr>
        <w:t>九、下一年发展计划</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1、持续加强常态化疫情防控工作，严格落实各项防控措施，压紧压实疫情防控责任，把“外防输入、内防反弹”作为工作重点，堵住一切可能导致疫情输入和反弹的漏洞，织牢织密疫情防控防护网。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2、持续加强党的建设，有力推进党建在医院工作中的引领作用。积极落实现代医院管理制度建设，建立健全各项制度建设，加强人、财、物的管理，完善“三重一大”事项决策机制，强化院务公开，防范廉洁风险。</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3、加强学科带头人的培养和人才引进力度，来年拟继续引进学科带头人1-2名，尤其是要补齐急诊急救能力这一业务短板，从而提高医院综合实力水平。</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5" w:lineRule="atLeast"/>
        <w:ind w:left="0" w:right="0" w:firstLine="6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4、加强医联体和紧密型医共体工作建设，充分利用省、市优质医疗资源，建立共建共享，做大做强肿瘤专科，力争在1-2年内将其打造成省内重点专科。</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405" w:right="0" w:firstLine="3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十、其他需要说明的情况</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55" w:lineRule="atLeast"/>
        <w:ind w:left="405" w:right="0" w:firstLine="315"/>
        <w:jc w:val="left"/>
        <w:rPr>
          <w:rFonts w:hint="eastAsia" w:ascii="微软雅黑" w:hAnsi="微软雅黑" w:eastAsia="微软雅黑" w:cs="微软雅黑"/>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无</w:t>
      </w:r>
      <w:r>
        <w:rPr>
          <w:rFonts w:hint="eastAsia" w:ascii="宋体" w:hAnsi="宋体" w:eastAsia="宋体" w:cs="宋体"/>
          <w:i w:val="0"/>
          <w:iCs w:val="0"/>
          <w:caps w:val="0"/>
          <w:color w:val="000000"/>
          <w:spacing w:val="0"/>
          <w:sz w:val="31"/>
          <w:szCs w:val="31"/>
          <w:bdr w:val="none" w:color="auto" w:sz="0" w:space="0"/>
          <w:shd w:val="clear" w:fill="FFFFFF"/>
        </w:rPr>
        <w:t>         </w:t>
      </w:r>
    </w:p>
    <w:p>
      <w:pPr>
        <w:spacing w:line="560" w:lineRule="exact"/>
        <w:jc w:val="center"/>
        <w:rPr>
          <w:rFonts w:eastAsia="方正小标宋_GBK"/>
          <w:sz w:val="44"/>
          <w:szCs w:val="44"/>
        </w:rPr>
      </w:pPr>
      <w:r>
        <w:rPr>
          <w:rFonts w:eastAsia="方正小标宋_GBK"/>
          <w:sz w:val="44"/>
          <w:szCs w:val="44"/>
        </w:rPr>
        <w:t>2021年度**市教育局整体支出</w:t>
      </w:r>
    </w:p>
    <w:p>
      <w:pPr>
        <w:spacing w:line="560" w:lineRule="exact"/>
        <w:jc w:val="center"/>
        <w:rPr>
          <w:rFonts w:eastAsia="方正小标宋_GBK"/>
          <w:sz w:val="44"/>
          <w:szCs w:val="44"/>
        </w:rPr>
      </w:pPr>
      <w:r>
        <w:rPr>
          <w:rFonts w:eastAsia="方正小标宋_GBK"/>
          <w:sz w:val="44"/>
          <w:szCs w:val="44"/>
        </w:rPr>
        <w:t>绩效自评报告</w:t>
      </w:r>
    </w:p>
    <w:p>
      <w:pPr>
        <w:spacing w:line="560" w:lineRule="exact"/>
        <w:rPr>
          <w:rFonts w:eastAsia="黑体"/>
          <w:sz w:val="32"/>
          <w:szCs w:val="32"/>
        </w:rPr>
      </w:pPr>
    </w:p>
    <w:p>
      <w:pPr>
        <w:spacing w:line="500" w:lineRule="exact"/>
        <w:ind w:firstLine="640" w:firstLineChars="200"/>
        <w:rPr>
          <w:rFonts w:eastAsia="黑体"/>
          <w:sz w:val="32"/>
          <w:szCs w:val="32"/>
        </w:rPr>
      </w:pPr>
      <w:r>
        <w:rPr>
          <w:rFonts w:eastAsia="黑体"/>
          <w:sz w:val="32"/>
          <w:szCs w:val="32"/>
        </w:rPr>
        <w:t>一、部门（单位）基本情况</w:t>
      </w:r>
    </w:p>
    <w:p>
      <w:pPr>
        <w:widowControl/>
        <w:spacing w:line="500" w:lineRule="exact"/>
        <w:ind w:firstLine="640" w:firstLineChars="200"/>
        <w:rPr>
          <w:rFonts w:eastAsia="楷体_GB2312"/>
          <w:bCs/>
          <w:sz w:val="32"/>
          <w:szCs w:val="32"/>
        </w:rPr>
      </w:pPr>
      <w:r>
        <w:rPr>
          <w:rFonts w:eastAsia="楷体_GB2312"/>
          <w:bCs/>
          <w:sz w:val="32"/>
          <w:szCs w:val="32"/>
        </w:rPr>
        <w:t>（一）机构、人员构成</w:t>
      </w:r>
    </w:p>
    <w:p>
      <w:pPr>
        <w:widowControl/>
        <w:spacing w:line="500" w:lineRule="exact"/>
        <w:ind w:firstLine="600" w:firstLineChars="200"/>
        <w:rPr>
          <w:sz w:val="30"/>
          <w:szCs w:val="30"/>
        </w:rPr>
      </w:pPr>
      <w:r>
        <w:rPr>
          <w:sz w:val="30"/>
          <w:szCs w:val="30"/>
        </w:rPr>
        <w:t>**市教育局为市人民政府下属的一级预算单位，下设有计财科、职成科、人事科等科室22个，单位人员编制93人，截止2021年12月份在编在职人员90人，离退休人员59人。纳入2021年部门整体支出绩效评价范围的二级预算单位包括：**市教育科学研究院和**市教学仪器站，二级预算单位人员编制数44人，截止2021年12月份在编在职人员42人。</w:t>
      </w:r>
    </w:p>
    <w:p>
      <w:pPr>
        <w:widowControl/>
        <w:spacing w:line="500" w:lineRule="exact"/>
        <w:ind w:firstLine="640" w:firstLineChars="200"/>
        <w:rPr>
          <w:rFonts w:eastAsia="楷体_GB2312"/>
          <w:bCs/>
          <w:sz w:val="32"/>
          <w:szCs w:val="32"/>
        </w:rPr>
      </w:pPr>
      <w:r>
        <w:rPr>
          <w:rFonts w:eastAsia="楷体_GB2312"/>
          <w:bCs/>
          <w:sz w:val="32"/>
          <w:szCs w:val="32"/>
        </w:rPr>
        <w:t>（二）单位主要职责</w:t>
      </w:r>
    </w:p>
    <w:p>
      <w:pPr>
        <w:widowControl/>
        <w:spacing w:line="500" w:lineRule="exact"/>
        <w:ind w:firstLine="600" w:firstLineChars="200"/>
        <w:rPr>
          <w:sz w:val="30"/>
          <w:szCs w:val="30"/>
        </w:rPr>
      </w:pPr>
      <w:r>
        <w:rPr>
          <w:sz w:val="30"/>
          <w:szCs w:val="30"/>
        </w:rPr>
        <w:t>市教育局是市人民政府主管全市教育事业和语言文字工作的职能部门。主要负责各级各类教育的统筹规划和协调管理；参与管理市本级教育经费和上级对本市的教育拨款；组织、指导、协调全市教育系统和各级各类学校社会治安综合治理和安全工作；指导和管理全市学前教育、基础教育、特殊教育、普通高等和中等专业教育、职业技术教育、成人教育等工作；协助组织部门管理直属处级事业单位领导班子和领导干部；指导全市各级各类学校的思想政治教育工作；在职责范围内，主管全市教师工作；统筹管理各类高等、中等学历教育的招生考试和学籍、学历工作；指导、管理全市教育督导等工作。</w:t>
      </w:r>
    </w:p>
    <w:p>
      <w:pPr>
        <w:widowControl/>
        <w:spacing w:line="500" w:lineRule="exact"/>
        <w:ind w:firstLine="640" w:firstLineChars="200"/>
        <w:rPr>
          <w:rFonts w:eastAsia="楷体_GB2312"/>
          <w:bCs/>
          <w:sz w:val="32"/>
          <w:szCs w:val="32"/>
        </w:rPr>
      </w:pPr>
      <w:r>
        <w:rPr>
          <w:rFonts w:eastAsia="楷体_GB2312"/>
          <w:bCs/>
          <w:sz w:val="32"/>
          <w:szCs w:val="32"/>
        </w:rPr>
        <w:t>（三）部门财务情况</w:t>
      </w:r>
    </w:p>
    <w:p>
      <w:pPr>
        <w:widowControl/>
        <w:spacing w:line="500" w:lineRule="exact"/>
        <w:ind w:firstLine="600" w:firstLineChars="200"/>
        <w:rPr>
          <w:sz w:val="30"/>
          <w:szCs w:val="30"/>
        </w:rPr>
      </w:pPr>
      <w:r>
        <w:rPr>
          <w:sz w:val="30"/>
          <w:szCs w:val="30"/>
        </w:rPr>
        <w:t>1. 资产负债及净资产情况</w:t>
      </w:r>
    </w:p>
    <w:p>
      <w:pPr>
        <w:widowControl/>
        <w:spacing w:line="500" w:lineRule="exact"/>
        <w:ind w:firstLine="600" w:firstLineChars="200"/>
        <w:rPr>
          <w:sz w:val="30"/>
          <w:szCs w:val="30"/>
        </w:rPr>
      </w:pPr>
      <w:r>
        <w:rPr>
          <w:sz w:val="30"/>
          <w:szCs w:val="30"/>
        </w:rPr>
        <w:t>2021年12月31日单位资产总额（不含所属二级预算单位）</w:t>
      </w:r>
      <w:r>
        <w:rPr>
          <w:color w:val="000000"/>
          <w:sz w:val="32"/>
          <w:szCs w:val="32"/>
        </w:rPr>
        <w:t>893.56</w:t>
      </w:r>
      <w:r>
        <w:rPr>
          <w:sz w:val="30"/>
          <w:szCs w:val="30"/>
        </w:rPr>
        <w:t>万元，其中：流动资产</w:t>
      </w:r>
      <w:r>
        <w:rPr>
          <w:color w:val="000000"/>
          <w:sz w:val="32"/>
          <w:szCs w:val="32"/>
        </w:rPr>
        <w:t>401.61</w:t>
      </w:r>
      <w:r>
        <w:rPr>
          <w:sz w:val="30"/>
          <w:szCs w:val="30"/>
        </w:rPr>
        <w:t>万元、非流动资产</w:t>
      </w:r>
      <w:r>
        <w:rPr>
          <w:color w:val="000000"/>
          <w:sz w:val="32"/>
          <w:szCs w:val="32"/>
        </w:rPr>
        <w:t>491.95</w:t>
      </w:r>
      <w:r>
        <w:rPr>
          <w:sz w:val="30"/>
          <w:szCs w:val="30"/>
        </w:rPr>
        <w:t>万元，负债总额</w:t>
      </w:r>
      <w:r>
        <w:rPr>
          <w:color w:val="000000"/>
          <w:sz w:val="32"/>
          <w:szCs w:val="32"/>
        </w:rPr>
        <w:t>138.75</w:t>
      </w:r>
      <w:r>
        <w:rPr>
          <w:sz w:val="30"/>
          <w:szCs w:val="30"/>
        </w:rPr>
        <w:t>万元，净资产总额</w:t>
      </w:r>
      <w:r>
        <w:rPr>
          <w:color w:val="000000"/>
          <w:sz w:val="32"/>
          <w:szCs w:val="32"/>
        </w:rPr>
        <w:t>754.81</w:t>
      </w:r>
      <w:r>
        <w:rPr>
          <w:sz w:val="30"/>
          <w:szCs w:val="30"/>
        </w:rPr>
        <w:t>万元。</w:t>
      </w:r>
    </w:p>
    <w:p>
      <w:pPr>
        <w:widowControl/>
        <w:spacing w:line="500" w:lineRule="exact"/>
        <w:ind w:firstLine="600" w:firstLineChars="200"/>
        <w:rPr>
          <w:sz w:val="30"/>
          <w:szCs w:val="30"/>
        </w:rPr>
      </w:pPr>
      <w:r>
        <w:rPr>
          <w:sz w:val="30"/>
          <w:szCs w:val="30"/>
        </w:rPr>
        <w:t>2. 部门整体收支情况</w:t>
      </w:r>
    </w:p>
    <w:p>
      <w:pPr>
        <w:widowControl/>
        <w:spacing w:line="500" w:lineRule="exact"/>
        <w:ind w:firstLine="600" w:firstLineChars="200"/>
        <w:rPr>
          <w:sz w:val="30"/>
          <w:szCs w:val="30"/>
        </w:rPr>
      </w:pPr>
      <w:r>
        <w:rPr>
          <w:sz w:val="30"/>
          <w:szCs w:val="30"/>
        </w:rPr>
        <w:t>202</w:t>
      </w:r>
      <w:r>
        <w:rPr>
          <w:rFonts w:hint="eastAsia"/>
          <w:sz w:val="30"/>
          <w:szCs w:val="30"/>
        </w:rPr>
        <w:t>1</w:t>
      </w:r>
      <w:r>
        <w:rPr>
          <w:sz w:val="30"/>
          <w:szCs w:val="30"/>
        </w:rPr>
        <w:t>年部门年初预算收入</w:t>
      </w:r>
      <w:r>
        <w:rPr>
          <w:rFonts w:hint="eastAsia"/>
          <w:sz w:val="30"/>
          <w:szCs w:val="30"/>
        </w:rPr>
        <w:t>（不含所属二级预算单位）3045.77</w:t>
      </w:r>
      <w:r>
        <w:rPr>
          <w:sz w:val="30"/>
          <w:szCs w:val="30"/>
        </w:rPr>
        <w:t>万元，年内调整预算</w:t>
      </w:r>
      <w:r>
        <w:rPr>
          <w:rFonts w:hint="eastAsia"/>
          <w:sz w:val="30"/>
          <w:szCs w:val="30"/>
        </w:rPr>
        <w:t>2830.79</w:t>
      </w:r>
      <w:r>
        <w:rPr>
          <w:sz w:val="30"/>
          <w:szCs w:val="30"/>
        </w:rPr>
        <w:t>万元，决算收入5876.56万元，其中：一般公共预算拨款4287.84万元，纳入专户管理的非税收入拨款1499.80万元，其他资金88.92万元。上年结转939.68万元，其中：一般公共预算拨款833.90万元，纳入专户管理的非税收入拨款105.78万元。全年可执行预算合计6816.24万元，其中：一般公共预算拨款5121.74万元，纳入专户管理的非税收入拨款1605.58万元，其他资金88.92万元。</w:t>
      </w:r>
    </w:p>
    <w:p>
      <w:pPr>
        <w:widowControl/>
        <w:spacing w:line="500" w:lineRule="exact"/>
        <w:ind w:firstLine="600" w:firstLineChars="200"/>
        <w:rPr>
          <w:sz w:val="30"/>
          <w:szCs w:val="30"/>
        </w:rPr>
      </w:pPr>
      <w:r>
        <w:rPr>
          <w:sz w:val="30"/>
          <w:szCs w:val="30"/>
        </w:rPr>
        <w:t>202</w:t>
      </w:r>
      <w:r>
        <w:rPr>
          <w:rFonts w:hint="eastAsia"/>
          <w:sz w:val="30"/>
          <w:szCs w:val="30"/>
        </w:rPr>
        <w:t>1</w:t>
      </w:r>
      <w:r>
        <w:rPr>
          <w:sz w:val="30"/>
          <w:szCs w:val="30"/>
        </w:rPr>
        <w:t>年部门年初预算支出</w:t>
      </w:r>
      <w:r>
        <w:rPr>
          <w:rFonts w:hint="eastAsia"/>
          <w:sz w:val="30"/>
          <w:szCs w:val="30"/>
        </w:rPr>
        <w:t>（不含所属二级预算单位）3045.77万元</w:t>
      </w:r>
      <w:r>
        <w:rPr>
          <w:sz w:val="30"/>
          <w:szCs w:val="30"/>
        </w:rPr>
        <w:t>，其中：基本支出</w:t>
      </w:r>
      <w:r>
        <w:rPr>
          <w:rFonts w:hint="eastAsia"/>
          <w:sz w:val="30"/>
          <w:szCs w:val="30"/>
        </w:rPr>
        <w:t>1961.34</w:t>
      </w:r>
      <w:r>
        <w:rPr>
          <w:sz w:val="30"/>
          <w:szCs w:val="30"/>
        </w:rPr>
        <w:t>万元，项目支出</w:t>
      </w:r>
      <w:r>
        <w:rPr>
          <w:rFonts w:hint="eastAsia"/>
          <w:sz w:val="30"/>
          <w:szCs w:val="30"/>
        </w:rPr>
        <w:t>1084.43</w:t>
      </w:r>
      <w:r>
        <w:rPr>
          <w:sz w:val="30"/>
          <w:szCs w:val="30"/>
        </w:rPr>
        <w:t>万元。部门决算支出</w:t>
      </w:r>
      <w:r>
        <w:rPr>
          <w:rFonts w:hint="eastAsia"/>
          <w:sz w:val="30"/>
          <w:szCs w:val="30"/>
        </w:rPr>
        <w:t>6594.08</w:t>
      </w:r>
      <w:r>
        <w:rPr>
          <w:sz w:val="30"/>
          <w:szCs w:val="30"/>
        </w:rPr>
        <w:t>万元，其中：基本支出</w:t>
      </w:r>
      <w:r>
        <w:rPr>
          <w:rFonts w:hint="eastAsia"/>
          <w:sz w:val="30"/>
          <w:szCs w:val="30"/>
        </w:rPr>
        <w:t>2154.74</w:t>
      </w:r>
      <w:r>
        <w:rPr>
          <w:sz w:val="30"/>
          <w:szCs w:val="30"/>
        </w:rPr>
        <w:t>万元，项目支出</w:t>
      </w:r>
      <w:r>
        <w:rPr>
          <w:rFonts w:hint="eastAsia"/>
          <w:sz w:val="30"/>
          <w:szCs w:val="30"/>
        </w:rPr>
        <w:t>4439.34</w:t>
      </w:r>
      <w:r>
        <w:rPr>
          <w:sz w:val="30"/>
          <w:szCs w:val="30"/>
        </w:rPr>
        <w:t>万元。</w:t>
      </w:r>
    </w:p>
    <w:p>
      <w:pPr>
        <w:widowControl/>
        <w:spacing w:line="500" w:lineRule="exact"/>
        <w:ind w:firstLine="600" w:firstLineChars="200"/>
        <w:rPr>
          <w:sz w:val="30"/>
          <w:szCs w:val="30"/>
        </w:rPr>
      </w:pPr>
      <w:r>
        <w:rPr>
          <w:sz w:val="30"/>
          <w:szCs w:val="30"/>
        </w:rPr>
        <w:t>年末结转结余</w:t>
      </w:r>
      <w:r>
        <w:rPr>
          <w:rFonts w:hint="eastAsia"/>
          <w:sz w:val="30"/>
          <w:szCs w:val="30"/>
        </w:rPr>
        <w:t>222.16</w:t>
      </w:r>
      <w:r>
        <w:rPr>
          <w:sz w:val="30"/>
          <w:szCs w:val="30"/>
        </w:rPr>
        <w:t>万元，</w:t>
      </w:r>
      <w:r>
        <w:rPr>
          <w:rFonts w:hint="eastAsia"/>
          <w:sz w:val="30"/>
          <w:szCs w:val="30"/>
        </w:rPr>
        <w:t>均为项目支出结转资金</w:t>
      </w:r>
      <w:r>
        <w:rPr>
          <w:sz w:val="30"/>
          <w:szCs w:val="30"/>
        </w:rPr>
        <w:t>。</w:t>
      </w:r>
    </w:p>
    <w:p>
      <w:pPr>
        <w:widowControl/>
        <w:spacing w:line="500" w:lineRule="exact"/>
        <w:ind w:firstLine="640" w:firstLineChars="200"/>
        <w:rPr>
          <w:rFonts w:eastAsia="楷体_GB2312"/>
          <w:bCs/>
          <w:sz w:val="32"/>
          <w:szCs w:val="32"/>
        </w:rPr>
      </w:pPr>
      <w:r>
        <w:rPr>
          <w:rFonts w:eastAsia="楷体_GB2312"/>
          <w:bCs/>
          <w:sz w:val="32"/>
          <w:szCs w:val="32"/>
        </w:rPr>
        <w:t>（四）部门绩效目标</w:t>
      </w:r>
    </w:p>
    <w:p>
      <w:pPr>
        <w:widowControl/>
        <w:spacing w:line="500" w:lineRule="exact"/>
        <w:ind w:firstLine="600" w:firstLineChars="200"/>
        <w:rPr>
          <w:sz w:val="30"/>
          <w:szCs w:val="30"/>
        </w:rPr>
      </w:pPr>
      <w:r>
        <w:rPr>
          <w:sz w:val="30"/>
          <w:szCs w:val="30"/>
        </w:rPr>
        <w:t>1. 部门绩效总目标</w:t>
      </w:r>
    </w:p>
    <w:p>
      <w:pPr>
        <w:widowControl/>
        <w:spacing w:line="500" w:lineRule="exact"/>
        <w:ind w:firstLine="600" w:firstLineChars="200"/>
        <w:rPr>
          <w:sz w:val="30"/>
          <w:szCs w:val="30"/>
        </w:rPr>
      </w:pPr>
      <w:r>
        <w:rPr>
          <w:sz w:val="30"/>
          <w:szCs w:val="30"/>
        </w:rPr>
        <w:t>（1）深入推进产教融合建设试点，加快职业教育现代化系列改革，出台**市推进职业教育现代化实施方案，支出联合办学，培养技能人才。</w:t>
      </w:r>
    </w:p>
    <w:p>
      <w:pPr>
        <w:widowControl/>
        <w:spacing w:line="500" w:lineRule="exact"/>
        <w:ind w:firstLine="600" w:firstLineChars="200"/>
        <w:rPr>
          <w:sz w:val="30"/>
          <w:szCs w:val="30"/>
        </w:rPr>
      </w:pPr>
      <w:r>
        <w:rPr>
          <w:sz w:val="30"/>
          <w:szCs w:val="30"/>
        </w:rPr>
        <w:t>（2）完成国家基本公共服务标准化综合试点任务；加强社会保障、社会救助、教育培训等综合性制度机制建设，有效阻断致贫因子，筑牢防贫“底板”。</w:t>
      </w:r>
    </w:p>
    <w:p>
      <w:pPr>
        <w:widowControl/>
        <w:spacing w:line="500" w:lineRule="exact"/>
        <w:ind w:firstLine="600" w:firstLineChars="200"/>
        <w:rPr>
          <w:sz w:val="30"/>
          <w:szCs w:val="30"/>
        </w:rPr>
      </w:pPr>
      <w:r>
        <w:rPr>
          <w:sz w:val="30"/>
          <w:szCs w:val="30"/>
        </w:rPr>
        <w:t>（3）完成农村学校建设三年行动计划。</w:t>
      </w:r>
    </w:p>
    <w:p>
      <w:pPr>
        <w:widowControl/>
        <w:spacing w:line="500" w:lineRule="exact"/>
        <w:ind w:firstLine="600" w:firstLineChars="200"/>
        <w:rPr>
          <w:sz w:val="30"/>
          <w:szCs w:val="30"/>
        </w:rPr>
      </w:pPr>
      <w:r>
        <w:rPr>
          <w:sz w:val="30"/>
          <w:szCs w:val="30"/>
        </w:rPr>
        <w:t>（4）持续推进县管校聘改革，集发校长和教师队伍活力，加强师德师风建设，减轻教师负担，深化教师综合管理改革，加强乡村教师队伍建设。</w:t>
      </w:r>
    </w:p>
    <w:p>
      <w:pPr>
        <w:widowControl/>
        <w:spacing w:line="500" w:lineRule="exact"/>
        <w:ind w:firstLine="600" w:firstLineChars="200"/>
        <w:rPr>
          <w:sz w:val="30"/>
          <w:szCs w:val="30"/>
        </w:rPr>
      </w:pPr>
      <w:r>
        <w:rPr>
          <w:sz w:val="30"/>
          <w:szCs w:val="30"/>
        </w:rPr>
        <w:t>（5）支持特殊教育发展，残疾儿童少年义务教育入学率稳步提升，开展中小学生“五项管理”专项督察，学生过重课业负担明显减轻，开展第二批心理健康教育特色学校创建活动，中小学生身心全面和谐发展，制定各区县（市）义务教育优质均衡县验收规划。</w:t>
      </w:r>
    </w:p>
    <w:p>
      <w:pPr>
        <w:widowControl/>
        <w:spacing w:line="500" w:lineRule="exact"/>
        <w:ind w:firstLine="600" w:firstLineChars="200"/>
        <w:rPr>
          <w:sz w:val="30"/>
          <w:szCs w:val="30"/>
        </w:rPr>
      </w:pPr>
      <w:r>
        <w:rPr>
          <w:sz w:val="30"/>
          <w:szCs w:val="30"/>
        </w:rPr>
        <w:t>（6）神话学前教育改革规范发展，启动学前教育普及普惠县创建工作。</w:t>
      </w:r>
    </w:p>
    <w:p>
      <w:pPr>
        <w:widowControl/>
        <w:spacing w:line="500" w:lineRule="exact"/>
        <w:ind w:firstLine="600" w:firstLineChars="200"/>
        <w:rPr>
          <w:sz w:val="30"/>
          <w:szCs w:val="30"/>
        </w:rPr>
      </w:pPr>
      <w:r>
        <w:rPr>
          <w:sz w:val="30"/>
          <w:szCs w:val="30"/>
        </w:rPr>
        <w:t>（7）继续推进市县城区中小学校建设。</w:t>
      </w:r>
    </w:p>
    <w:p>
      <w:pPr>
        <w:widowControl/>
        <w:spacing w:line="500" w:lineRule="exact"/>
        <w:ind w:firstLine="600" w:firstLineChars="200"/>
        <w:rPr>
          <w:sz w:val="30"/>
          <w:szCs w:val="30"/>
        </w:rPr>
      </w:pPr>
      <w:r>
        <w:rPr>
          <w:sz w:val="30"/>
          <w:szCs w:val="30"/>
        </w:rPr>
        <w:t>（8）推进中职学校标准化建设，支持继续教育发展，支持高效“双一流”建设。</w:t>
      </w:r>
    </w:p>
    <w:p>
      <w:pPr>
        <w:widowControl/>
        <w:spacing w:line="500" w:lineRule="exact"/>
        <w:ind w:firstLine="600" w:firstLineChars="200"/>
        <w:rPr>
          <w:sz w:val="30"/>
          <w:szCs w:val="30"/>
        </w:rPr>
      </w:pPr>
      <w:r>
        <w:rPr>
          <w:sz w:val="30"/>
          <w:szCs w:val="30"/>
        </w:rPr>
        <w:t>（9）有序实施民办教育分类管理改革；支持民办教育发展，规范校外培训管理。</w:t>
      </w:r>
    </w:p>
    <w:p>
      <w:pPr>
        <w:widowControl/>
        <w:spacing w:line="500" w:lineRule="exact"/>
        <w:ind w:firstLine="600" w:firstLineChars="200"/>
        <w:rPr>
          <w:sz w:val="30"/>
          <w:szCs w:val="30"/>
        </w:rPr>
      </w:pPr>
      <w:r>
        <w:rPr>
          <w:sz w:val="30"/>
          <w:szCs w:val="30"/>
        </w:rPr>
        <w:t>（10）加强平安校园建设。</w:t>
      </w:r>
    </w:p>
    <w:p>
      <w:pPr>
        <w:widowControl/>
        <w:spacing w:line="500" w:lineRule="exact"/>
        <w:ind w:firstLine="600" w:firstLineChars="200"/>
        <w:rPr>
          <w:sz w:val="30"/>
          <w:szCs w:val="30"/>
        </w:rPr>
      </w:pPr>
      <w:r>
        <w:rPr>
          <w:sz w:val="30"/>
          <w:szCs w:val="30"/>
        </w:rPr>
        <w:t>（11）重视青少年身体素质，启动体育中考改革，组织开展青少年阳光体育赛事活动，提高体育教师教学水平和能力。</w:t>
      </w:r>
    </w:p>
    <w:p>
      <w:pPr>
        <w:widowControl/>
        <w:spacing w:line="500" w:lineRule="exact"/>
        <w:ind w:firstLine="600" w:firstLineChars="200"/>
        <w:rPr>
          <w:sz w:val="30"/>
          <w:szCs w:val="30"/>
        </w:rPr>
      </w:pPr>
      <w:r>
        <w:rPr>
          <w:sz w:val="30"/>
          <w:szCs w:val="30"/>
        </w:rPr>
        <w:t>2. 部门2021年度绩效目标</w:t>
      </w:r>
    </w:p>
    <w:p>
      <w:pPr>
        <w:widowControl/>
        <w:spacing w:line="500" w:lineRule="exact"/>
        <w:ind w:firstLine="600" w:firstLineChars="200"/>
        <w:rPr>
          <w:sz w:val="30"/>
          <w:szCs w:val="30"/>
        </w:rPr>
      </w:pPr>
      <w:r>
        <w:rPr>
          <w:sz w:val="30"/>
          <w:szCs w:val="30"/>
        </w:rPr>
        <w:t>（1）产出指标</w:t>
      </w:r>
    </w:p>
    <w:p>
      <w:pPr>
        <w:widowControl/>
        <w:spacing w:line="500" w:lineRule="exact"/>
        <w:ind w:firstLine="600" w:firstLineChars="200"/>
        <w:rPr>
          <w:sz w:val="30"/>
          <w:szCs w:val="30"/>
        </w:rPr>
      </w:pPr>
      <w:r>
        <w:rPr>
          <w:sz w:val="30"/>
          <w:szCs w:val="30"/>
        </w:rPr>
        <w:t>①数量指标。新建教师周转房950套。新建塑胶运动场40个。新建和改扩建学生食堂1.5万㎡。新增公办园位至少1.3万个。本地企业安排学生实习4000名。培训技术工人8000名。定向免费培养乡村教师400名。新增中小学学位1.5万个。6所普通高中提质改造。消除普通高中大班额72个。改造6所乡镇标准化寄宿制学校。全年举办各项赛事及活动不少于6次，参与人数不少于2000人。普通高中阶段入学率达到57.8%。义务教育阶段入学率100%。全年负责组织各项考试11次。</w:t>
      </w:r>
    </w:p>
    <w:p>
      <w:pPr>
        <w:widowControl/>
        <w:spacing w:line="500" w:lineRule="exact"/>
        <w:ind w:firstLine="600" w:firstLineChars="200"/>
        <w:rPr>
          <w:sz w:val="30"/>
          <w:szCs w:val="30"/>
        </w:rPr>
      </w:pPr>
      <w:r>
        <w:rPr>
          <w:sz w:val="30"/>
          <w:szCs w:val="30"/>
        </w:rPr>
        <w:t>②质量指标。城镇幼儿园封闭化管理率、城镇护学岗设置率、学校专职保安配备率、学校一键式报警及视频监控联网率、工程建设质量合格率、普高大班额消除率均为100%。公办园在园幼儿人数占比50%。学校安全事故发生率0%。考场秩序规范率100%。考场事故发生率0%。</w:t>
      </w:r>
    </w:p>
    <w:p>
      <w:pPr>
        <w:widowControl/>
        <w:spacing w:line="500" w:lineRule="exact"/>
        <w:ind w:firstLine="600" w:firstLineChars="200"/>
        <w:rPr>
          <w:sz w:val="30"/>
          <w:szCs w:val="30"/>
        </w:rPr>
      </w:pPr>
      <w:r>
        <w:rPr>
          <w:sz w:val="30"/>
          <w:szCs w:val="30"/>
        </w:rPr>
        <w:t>③时效指标。</w:t>
      </w:r>
      <w:r>
        <w:rPr>
          <w:rFonts w:hint="eastAsia"/>
          <w:sz w:val="30"/>
          <w:szCs w:val="30"/>
        </w:rPr>
        <w:t>任务完成及时率100%</w:t>
      </w:r>
      <w:r>
        <w:rPr>
          <w:sz w:val="30"/>
          <w:szCs w:val="30"/>
        </w:rPr>
        <w:t>。</w:t>
      </w:r>
    </w:p>
    <w:p>
      <w:pPr>
        <w:widowControl/>
        <w:spacing w:line="500" w:lineRule="exact"/>
        <w:ind w:firstLine="600" w:firstLineChars="200"/>
        <w:rPr>
          <w:sz w:val="30"/>
          <w:szCs w:val="30"/>
        </w:rPr>
      </w:pPr>
      <w:r>
        <w:rPr>
          <w:sz w:val="30"/>
          <w:szCs w:val="30"/>
        </w:rPr>
        <w:t>④成本指标。成本发生规范合理率100%。</w:t>
      </w:r>
    </w:p>
    <w:p>
      <w:pPr>
        <w:widowControl/>
        <w:spacing w:line="500" w:lineRule="exact"/>
        <w:ind w:firstLine="600" w:firstLineChars="200"/>
        <w:rPr>
          <w:sz w:val="30"/>
          <w:szCs w:val="30"/>
        </w:rPr>
      </w:pPr>
      <w:r>
        <w:rPr>
          <w:sz w:val="30"/>
          <w:szCs w:val="30"/>
        </w:rPr>
        <w:t>（2）效益指标</w:t>
      </w:r>
    </w:p>
    <w:p>
      <w:pPr>
        <w:widowControl/>
        <w:spacing w:line="500" w:lineRule="exact"/>
        <w:ind w:firstLine="600" w:firstLineChars="200"/>
        <w:rPr>
          <w:sz w:val="30"/>
          <w:szCs w:val="30"/>
        </w:rPr>
      </w:pPr>
      <w:r>
        <w:rPr>
          <w:sz w:val="30"/>
          <w:szCs w:val="30"/>
        </w:rPr>
        <w:t>①提升师德师风建设。</w:t>
      </w:r>
    </w:p>
    <w:p>
      <w:pPr>
        <w:widowControl/>
        <w:spacing w:line="500" w:lineRule="exact"/>
        <w:ind w:firstLine="600" w:firstLineChars="200"/>
        <w:rPr>
          <w:sz w:val="30"/>
          <w:szCs w:val="30"/>
        </w:rPr>
      </w:pPr>
      <w:r>
        <w:rPr>
          <w:sz w:val="30"/>
          <w:szCs w:val="30"/>
        </w:rPr>
        <w:t>②减轻教师负担，减轻学生课业负担。</w:t>
      </w:r>
    </w:p>
    <w:p>
      <w:pPr>
        <w:widowControl/>
        <w:spacing w:line="500" w:lineRule="exact"/>
        <w:ind w:firstLine="600" w:firstLineChars="200"/>
        <w:rPr>
          <w:sz w:val="30"/>
          <w:szCs w:val="30"/>
        </w:rPr>
      </w:pPr>
      <w:r>
        <w:rPr>
          <w:sz w:val="30"/>
          <w:szCs w:val="30"/>
        </w:rPr>
        <w:t>③提升基础教育水平，提高教师教学水平。</w:t>
      </w:r>
    </w:p>
    <w:p>
      <w:pPr>
        <w:widowControl/>
        <w:spacing w:line="500" w:lineRule="exact"/>
        <w:ind w:firstLine="600" w:firstLineChars="200"/>
      </w:pPr>
      <w:r>
        <w:rPr>
          <w:sz w:val="30"/>
          <w:szCs w:val="30"/>
        </w:rPr>
        <w:t>④满意度。师生满意度90%以上，社会公众满意度90%以上。</w:t>
      </w:r>
    </w:p>
    <w:p>
      <w:pPr>
        <w:pStyle w:val="9"/>
        <w:widowControl/>
        <w:spacing w:line="500" w:lineRule="exact"/>
        <w:ind w:firstLine="640"/>
        <w:rPr>
          <w:rFonts w:ascii="Times New Roman" w:hAnsi="Times New Roman" w:eastAsia="黑体"/>
          <w:sz w:val="32"/>
          <w:szCs w:val="32"/>
        </w:rPr>
      </w:pPr>
      <w:r>
        <w:rPr>
          <w:rFonts w:ascii="Times New Roman" w:hAnsi="Times New Roman" w:eastAsia="黑体"/>
          <w:sz w:val="32"/>
          <w:szCs w:val="32"/>
        </w:rPr>
        <w:t>二、一般公共预算支出情况</w:t>
      </w:r>
    </w:p>
    <w:p>
      <w:pPr>
        <w:widowControl/>
        <w:spacing w:line="500" w:lineRule="exact"/>
        <w:ind w:firstLine="600" w:firstLineChars="200"/>
        <w:rPr>
          <w:sz w:val="30"/>
          <w:szCs w:val="30"/>
        </w:rPr>
      </w:pPr>
      <w:r>
        <w:rPr>
          <w:rFonts w:hint="eastAsia"/>
          <w:sz w:val="30"/>
          <w:szCs w:val="30"/>
        </w:rPr>
        <w:t>**市教育局本级（不含所属二级预算单位）2021年度一般公共预算财政拨款年初结转和结余833.90万元，本年收入4287.84万元，本年支出4899.58万元，年末结转和结余222.16万元。</w:t>
      </w:r>
    </w:p>
    <w:p>
      <w:pPr>
        <w:widowControl/>
        <w:spacing w:line="500" w:lineRule="exact"/>
        <w:ind w:firstLine="640" w:firstLineChars="200"/>
        <w:rPr>
          <w:rFonts w:eastAsia="楷体_GB2312"/>
          <w:bCs/>
          <w:sz w:val="32"/>
          <w:szCs w:val="32"/>
        </w:rPr>
      </w:pPr>
      <w:r>
        <w:rPr>
          <w:rFonts w:hint="eastAsia" w:eastAsia="楷体_GB2312"/>
          <w:bCs/>
          <w:sz w:val="32"/>
          <w:szCs w:val="32"/>
        </w:rPr>
        <w:t>（一）</w:t>
      </w:r>
      <w:r>
        <w:rPr>
          <w:rFonts w:eastAsia="楷体_GB2312"/>
          <w:bCs/>
          <w:sz w:val="32"/>
          <w:szCs w:val="32"/>
        </w:rPr>
        <w:t>基本支出情况</w:t>
      </w:r>
    </w:p>
    <w:p>
      <w:pPr>
        <w:widowControl/>
        <w:spacing w:line="500" w:lineRule="exact"/>
        <w:ind w:firstLine="600" w:firstLineChars="200"/>
        <w:rPr>
          <w:sz w:val="30"/>
          <w:szCs w:val="30"/>
        </w:rPr>
      </w:pPr>
      <w:r>
        <w:rPr>
          <w:rFonts w:hint="eastAsia"/>
          <w:sz w:val="30"/>
          <w:szCs w:val="30"/>
        </w:rPr>
        <w:t>**市教育局本级（不含所属二级预算单位）2021年度一般公共预算财政拨款基本支出年初结转和结余0万元，本年收入2154.20万元，本年支出2154.20万元，年末结转和结余0万元。</w:t>
      </w:r>
    </w:p>
    <w:p>
      <w:pPr>
        <w:widowControl/>
        <w:spacing w:line="500" w:lineRule="exact"/>
        <w:ind w:firstLine="640" w:firstLineChars="200"/>
        <w:rPr>
          <w:rFonts w:eastAsia="楷体_GB2312"/>
          <w:bCs/>
          <w:sz w:val="32"/>
          <w:szCs w:val="32"/>
        </w:rPr>
      </w:pPr>
      <w:r>
        <w:rPr>
          <w:rFonts w:hint="eastAsia" w:eastAsia="楷体_GB2312"/>
          <w:bCs/>
          <w:sz w:val="32"/>
          <w:szCs w:val="32"/>
        </w:rPr>
        <w:t>（二）项目支出情况</w:t>
      </w:r>
    </w:p>
    <w:p>
      <w:pPr>
        <w:widowControl/>
        <w:spacing w:line="500" w:lineRule="exact"/>
        <w:ind w:firstLine="600" w:firstLineChars="200"/>
        <w:rPr>
          <w:sz w:val="30"/>
          <w:szCs w:val="30"/>
        </w:rPr>
      </w:pPr>
      <w:r>
        <w:rPr>
          <w:rFonts w:hint="eastAsia"/>
          <w:sz w:val="30"/>
          <w:szCs w:val="30"/>
        </w:rPr>
        <w:t>**市教育局本级（不含所属二级预算单位）2021年度一般公共预算财政拨款项目支出年初结转和结余833.90万元，本年收入2133.64万元，本年支出2745.38万元，年末结转和结余222.16万元。</w:t>
      </w:r>
    </w:p>
    <w:p>
      <w:pPr>
        <w:pStyle w:val="9"/>
        <w:widowControl/>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三、政府性基金预算支出情况</w:t>
      </w:r>
    </w:p>
    <w:p>
      <w:pPr>
        <w:pStyle w:val="9"/>
        <w:widowControl/>
        <w:spacing w:line="500" w:lineRule="exact"/>
        <w:ind w:firstLine="64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9"/>
        <w:widowControl/>
        <w:numPr>
          <w:ilvl w:val="0"/>
          <w:numId w:val="1"/>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9"/>
        <w:widowControl/>
        <w:spacing w:line="500" w:lineRule="exact"/>
        <w:ind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pStyle w:val="9"/>
        <w:widowControl/>
        <w:numPr>
          <w:ilvl w:val="0"/>
          <w:numId w:val="1"/>
        </w:numPr>
        <w:spacing w:line="500" w:lineRule="exact"/>
        <w:ind w:firstLine="640"/>
        <w:jc w:val="left"/>
        <w:rPr>
          <w:rFonts w:ascii="Times New Roman" w:hAnsi="Times New Roman" w:eastAsia="黑体"/>
          <w:sz w:val="32"/>
          <w:szCs w:val="32"/>
        </w:rPr>
      </w:pPr>
      <w:r>
        <w:rPr>
          <w:rFonts w:ascii="Times New Roman" w:hAnsi="Times New Roman" w:eastAsia="黑体"/>
          <w:sz w:val="32"/>
          <w:szCs w:val="32"/>
        </w:rPr>
        <w:t>社会保险基金预算支出情况</w:t>
      </w:r>
    </w:p>
    <w:p>
      <w:pPr>
        <w:pStyle w:val="9"/>
        <w:widowControl/>
        <w:spacing w:line="500" w:lineRule="exact"/>
        <w:ind w:left="560" w:leftChars="200" w:firstLine="0" w:firstLineChars="0"/>
        <w:jc w:val="left"/>
        <w:rPr>
          <w:rFonts w:ascii="Times New Roman" w:hAnsi="Times New Roman"/>
          <w:sz w:val="30"/>
          <w:szCs w:val="30"/>
        </w:rPr>
      </w:pPr>
      <w:r>
        <w:rPr>
          <w:rFonts w:ascii="Times New Roman" w:hAnsi="Times New Roman" w:eastAsia="黑体"/>
          <w:sz w:val="32"/>
          <w:szCs w:val="32"/>
        </w:rPr>
        <w:t xml:space="preserve">     </w:t>
      </w:r>
      <w:r>
        <w:rPr>
          <w:rFonts w:ascii="Times New Roman" w:hAnsi="Times New Roman"/>
          <w:sz w:val="30"/>
          <w:szCs w:val="30"/>
        </w:rPr>
        <w:t>无</w:t>
      </w:r>
    </w:p>
    <w:p>
      <w:pPr>
        <w:widowControl/>
        <w:spacing w:line="500" w:lineRule="exact"/>
        <w:ind w:firstLine="645"/>
        <w:jc w:val="left"/>
        <w:rPr>
          <w:rFonts w:eastAsia="黑体"/>
          <w:sz w:val="32"/>
          <w:szCs w:val="32"/>
        </w:rPr>
      </w:pPr>
      <w:r>
        <w:rPr>
          <w:rFonts w:eastAsia="黑体"/>
          <w:sz w:val="32"/>
          <w:szCs w:val="32"/>
        </w:rPr>
        <w:t>六、部门整体支出绩效情况</w:t>
      </w:r>
    </w:p>
    <w:p>
      <w:pPr>
        <w:widowControl/>
        <w:spacing w:line="500" w:lineRule="exact"/>
        <w:ind w:firstLine="640" w:firstLineChars="200"/>
        <w:rPr>
          <w:rFonts w:eastAsia="楷体_GB2312"/>
          <w:bCs/>
          <w:sz w:val="32"/>
          <w:szCs w:val="32"/>
        </w:rPr>
      </w:pPr>
      <w:r>
        <w:rPr>
          <w:rFonts w:eastAsia="楷体_GB2312"/>
          <w:bCs/>
          <w:sz w:val="32"/>
          <w:szCs w:val="32"/>
        </w:rPr>
        <w:t>（一）部门产出指标完成情况</w:t>
      </w:r>
    </w:p>
    <w:p>
      <w:pPr>
        <w:widowControl/>
        <w:spacing w:line="500" w:lineRule="exact"/>
        <w:ind w:firstLine="600" w:firstLineChars="200"/>
        <w:rPr>
          <w:sz w:val="30"/>
          <w:szCs w:val="30"/>
        </w:rPr>
      </w:pPr>
      <w:r>
        <w:rPr>
          <w:sz w:val="30"/>
          <w:szCs w:val="30"/>
        </w:rPr>
        <w:t>1.数量指标。新建教师周转房1038套。新建塑胶运动场60个。新建和改扩建学生食堂3.5万平方米。新增公办园位15298个。本地企业安排学生实习4000余名。培训技术工人1.6万余名。定向免费培养乡村教师431名。新增中小学学位2.8万个。6所普通高中提质改造。消除普通高中大班额94个。改造15所乡镇标准化寄宿制学校。全年举办各项赛事及活动6次，参与人数3000余人。普通高中阶段入学率达到57.8%。义务教育阶段入学率100%。全年负责组织各项考试16次。</w:t>
      </w:r>
    </w:p>
    <w:p>
      <w:pPr>
        <w:widowControl/>
        <w:spacing w:line="500" w:lineRule="exact"/>
        <w:ind w:firstLine="600" w:firstLineChars="200"/>
        <w:rPr>
          <w:sz w:val="30"/>
          <w:szCs w:val="30"/>
        </w:rPr>
      </w:pPr>
      <w:r>
        <w:rPr>
          <w:sz w:val="30"/>
          <w:szCs w:val="30"/>
        </w:rPr>
        <w:t>2.质量指标。公办园在园幼儿占比52.62%。城镇幼儿园封闭化管理率、城镇护学岗设置率、学校专职保安配备率、学校一键式报警及视频监控联网率、工程建设质量合格率、普高大班额消除率均达到100%。学校安全事故发生率0%。考场秩序规范率100%。考场事故发生率0%。</w:t>
      </w:r>
    </w:p>
    <w:p>
      <w:pPr>
        <w:widowControl/>
        <w:spacing w:line="500" w:lineRule="exact"/>
        <w:ind w:firstLine="600" w:firstLineChars="200"/>
        <w:rPr>
          <w:sz w:val="30"/>
          <w:szCs w:val="30"/>
        </w:rPr>
      </w:pPr>
      <w:r>
        <w:rPr>
          <w:sz w:val="30"/>
          <w:szCs w:val="30"/>
        </w:rPr>
        <w:t>3.时效指标。</w:t>
      </w:r>
      <w:r>
        <w:rPr>
          <w:rFonts w:hint="eastAsia"/>
          <w:sz w:val="30"/>
          <w:szCs w:val="30"/>
        </w:rPr>
        <w:t>任务完成及时率100%</w:t>
      </w:r>
      <w:r>
        <w:rPr>
          <w:sz w:val="30"/>
          <w:szCs w:val="30"/>
        </w:rPr>
        <w:t>。</w:t>
      </w:r>
    </w:p>
    <w:p>
      <w:pPr>
        <w:widowControl/>
        <w:spacing w:line="500" w:lineRule="exact"/>
        <w:ind w:firstLine="600" w:firstLineChars="200"/>
      </w:pPr>
      <w:r>
        <w:rPr>
          <w:sz w:val="30"/>
          <w:szCs w:val="30"/>
        </w:rPr>
        <w:t>4.成本指标。成本发生规范合理率100%。</w:t>
      </w:r>
    </w:p>
    <w:p>
      <w:pPr>
        <w:widowControl/>
        <w:spacing w:line="500" w:lineRule="exact"/>
        <w:ind w:firstLine="640" w:firstLineChars="200"/>
        <w:rPr>
          <w:sz w:val="30"/>
          <w:szCs w:val="30"/>
        </w:rPr>
      </w:pPr>
      <w:r>
        <w:rPr>
          <w:rFonts w:eastAsia="楷体_GB2312"/>
          <w:bCs/>
          <w:sz w:val="32"/>
          <w:szCs w:val="32"/>
        </w:rPr>
        <w:t>（二）部门效益指标完成情况</w:t>
      </w:r>
    </w:p>
    <w:p>
      <w:pPr>
        <w:widowControl/>
        <w:spacing w:line="500" w:lineRule="exact"/>
        <w:ind w:firstLine="645"/>
        <w:jc w:val="left"/>
        <w:rPr>
          <w:sz w:val="30"/>
          <w:szCs w:val="30"/>
        </w:rPr>
      </w:pPr>
      <w:r>
        <w:rPr>
          <w:rFonts w:hint="eastAsia"/>
          <w:sz w:val="30"/>
          <w:szCs w:val="30"/>
        </w:rPr>
        <w:t>1.提升师德师风建设。通过</w:t>
      </w:r>
      <w:r>
        <w:rPr>
          <w:sz w:val="30"/>
          <w:szCs w:val="30"/>
        </w:rPr>
        <w:t>加大培养引进力度，强化教师培训提升，加强</w:t>
      </w:r>
      <w:r>
        <w:rPr>
          <w:rFonts w:hint="eastAsia"/>
          <w:sz w:val="30"/>
          <w:szCs w:val="30"/>
        </w:rPr>
        <w:t>了</w:t>
      </w:r>
      <w:r>
        <w:rPr>
          <w:sz w:val="30"/>
          <w:szCs w:val="30"/>
        </w:rPr>
        <w:t>师德师风建设，全面激发教师活力。</w:t>
      </w:r>
      <w:r>
        <w:rPr>
          <w:rFonts w:hint="eastAsia"/>
          <w:sz w:val="30"/>
          <w:szCs w:val="30"/>
        </w:rPr>
        <w:t>将师德师风建设列为2021年局长“开局项目”，深入开展“师德师风建设年”活动，建立15个基层学校专项整治观察点，深入治理师德失范问题，查处案件16起，组织处理45人，党纪政务处分12人，清退违纪资金2.6万元。我市在全省师德师风建设工作推进会上作典型发言。鼎城区蔡家岗镇“故事老师”麻小娟先进事迹被《光明日报》头版头条报道，在全国产生较大影响，受到省委副书记朱国贤专门批示。省委教育工委、省教育厅专门发文在全省教育系统广泛深入开展向麻小娟老师学习活动。</w:t>
      </w:r>
    </w:p>
    <w:p>
      <w:pPr>
        <w:widowControl/>
        <w:spacing w:line="500" w:lineRule="exact"/>
        <w:ind w:firstLine="600" w:firstLineChars="200"/>
        <w:rPr>
          <w:sz w:val="30"/>
          <w:szCs w:val="30"/>
        </w:rPr>
      </w:pPr>
      <w:r>
        <w:rPr>
          <w:rFonts w:hint="eastAsia"/>
          <w:sz w:val="30"/>
          <w:szCs w:val="30"/>
        </w:rPr>
        <w:t>2.</w:t>
      </w:r>
      <w:r>
        <w:rPr>
          <w:sz w:val="30"/>
          <w:szCs w:val="30"/>
        </w:rPr>
        <w:t>减轻教师负担，减轻学生课业负担</w:t>
      </w:r>
      <w:r>
        <w:rPr>
          <w:rFonts w:hint="eastAsia"/>
          <w:sz w:val="30"/>
          <w:szCs w:val="30"/>
        </w:rPr>
        <w:t>。我单位严格贯彻双减文件精神，全市共排查校外培训机构1063家，查处各类违规机构214家，关停取缔67家，压减学科类校外培训机构317家，压减率达71.88%，位居全省前列。所有义务教育阶段学科类培训机构完成“营改非”，所有校外培训机构纳入资金监管平台。全市义务教育阶段作业负担全面压减至规定范围之内，学校校内课后服务实现全覆盖。</w:t>
      </w:r>
    </w:p>
    <w:p>
      <w:pPr>
        <w:widowControl/>
        <w:spacing w:line="500" w:lineRule="exact"/>
        <w:ind w:firstLine="645"/>
        <w:jc w:val="left"/>
        <w:rPr>
          <w:sz w:val="30"/>
          <w:szCs w:val="30"/>
        </w:rPr>
      </w:pPr>
      <w:r>
        <w:rPr>
          <w:rFonts w:hint="eastAsia"/>
          <w:sz w:val="30"/>
          <w:szCs w:val="30"/>
        </w:rPr>
        <w:t>3.</w:t>
      </w:r>
      <w:r>
        <w:rPr>
          <w:sz w:val="30"/>
          <w:szCs w:val="30"/>
        </w:rPr>
        <w:t>提升基础教育水平，提高教师教学水平</w:t>
      </w:r>
      <w:r>
        <w:rPr>
          <w:rFonts w:hint="eastAsia"/>
          <w:sz w:val="30"/>
          <w:szCs w:val="30"/>
        </w:rPr>
        <w:t>。大力实施学前教育普惠行动，创建普惠性幼儿园35所，新增公办园位15298个，其中省级为民办实事项目4830个，超出省定任务2230个，公办园在园幼儿占比达52.69%，普惠性幼儿园覆盖率达83.58%。二是义务教育优质均衡。新建、改扩建中小学校12所，5所芙蓉学校建成招生，新增学位3.5万个。投入3.8亿元，建成教师周转房1048套、塑胶运动场60个，改造学生食堂面积3.5万平方米，农村学校建设三年行动圆满收官。加大培养引进力度，严格实行“退一补一”机制，全市招录教师1843人，引进教育部直属师范大学公费师范生13人。招录市级公费师范生431名，超额完成31名。强化教师培训提升，开展市级学科带头人、名师工作室和教师工作坊换届评选，认定市级学科带头人200名、名师工作室30个、教师工作坊43个。组织校长、骨干教师高端研修，共培训教师29233人次。</w:t>
      </w:r>
    </w:p>
    <w:p>
      <w:pPr>
        <w:widowControl/>
        <w:spacing w:line="500" w:lineRule="exact"/>
        <w:ind w:firstLine="645"/>
        <w:jc w:val="left"/>
        <w:rPr>
          <w:sz w:val="30"/>
          <w:szCs w:val="30"/>
        </w:rPr>
      </w:pPr>
      <w:r>
        <w:rPr>
          <w:rFonts w:hint="eastAsia"/>
          <w:sz w:val="30"/>
          <w:szCs w:val="30"/>
        </w:rPr>
        <w:t>4</w:t>
      </w:r>
      <w:r>
        <w:rPr>
          <w:sz w:val="30"/>
          <w:szCs w:val="30"/>
        </w:rPr>
        <w:t>.满意度。师生满意度9</w:t>
      </w:r>
      <w:r>
        <w:rPr>
          <w:rFonts w:hint="eastAsia"/>
          <w:sz w:val="30"/>
          <w:szCs w:val="30"/>
        </w:rPr>
        <w:t>6</w:t>
      </w:r>
      <w:r>
        <w:rPr>
          <w:sz w:val="30"/>
          <w:szCs w:val="30"/>
        </w:rPr>
        <w:t>%，社会公众满意度9</w:t>
      </w:r>
      <w:r>
        <w:rPr>
          <w:rFonts w:hint="eastAsia"/>
          <w:sz w:val="30"/>
          <w:szCs w:val="30"/>
        </w:rPr>
        <w:t>5</w:t>
      </w:r>
      <w:r>
        <w:rPr>
          <w:sz w:val="30"/>
          <w:szCs w:val="30"/>
        </w:rPr>
        <w:t>%。</w:t>
      </w:r>
    </w:p>
    <w:p>
      <w:pPr>
        <w:widowControl/>
        <w:spacing w:line="500" w:lineRule="exact"/>
        <w:ind w:firstLine="640" w:firstLineChars="200"/>
        <w:jc w:val="left"/>
        <w:rPr>
          <w:rFonts w:eastAsia="黑体"/>
          <w:sz w:val="32"/>
          <w:szCs w:val="32"/>
        </w:rPr>
      </w:pPr>
      <w:r>
        <w:rPr>
          <w:rFonts w:eastAsia="黑体"/>
          <w:sz w:val="32"/>
          <w:szCs w:val="32"/>
        </w:rPr>
        <w:t>七、存在的问题及原因分析</w:t>
      </w:r>
    </w:p>
    <w:p>
      <w:pPr>
        <w:widowControl/>
        <w:spacing w:line="500" w:lineRule="exact"/>
        <w:ind w:firstLine="640" w:firstLineChars="200"/>
        <w:rPr>
          <w:rFonts w:eastAsia="楷体_GB2312"/>
          <w:bCs/>
          <w:sz w:val="32"/>
          <w:szCs w:val="32"/>
        </w:rPr>
      </w:pPr>
      <w:r>
        <w:rPr>
          <w:rFonts w:hint="eastAsia" w:eastAsia="楷体_GB2312"/>
          <w:bCs/>
          <w:sz w:val="32"/>
          <w:szCs w:val="32"/>
        </w:rPr>
        <w:t>（一）</w:t>
      </w:r>
      <w:r>
        <w:rPr>
          <w:rFonts w:eastAsia="楷体_GB2312"/>
          <w:bCs/>
          <w:sz w:val="32"/>
          <w:szCs w:val="32"/>
        </w:rPr>
        <w:t>存在的问题</w:t>
      </w:r>
    </w:p>
    <w:p>
      <w:pPr>
        <w:widowControl/>
        <w:spacing w:line="500" w:lineRule="exact"/>
        <w:ind w:firstLine="645"/>
        <w:jc w:val="left"/>
        <w:rPr>
          <w:sz w:val="30"/>
          <w:szCs w:val="30"/>
        </w:rPr>
      </w:pPr>
      <w:r>
        <w:rPr>
          <w:rFonts w:hint="eastAsia"/>
          <w:sz w:val="30"/>
          <w:szCs w:val="30"/>
        </w:rPr>
        <w:t>1</w:t>
      </w:r>
      <w:r>
        <w:rPr>
          <w:sz w:val="30"/>
          <w:szCs w:val="30"/>
        </w:rPr>
        <w:t>.</w:t>
      </w:r>
      <w:r>
        <w:rPr>
          <w:rFonts w:hint="eastAsia"/>
          <w:sz w:val="30"/>
          <w:szCs w:val="30"/>
        </w:rPr>
        <w:t>部门预算调整大。</w:t>
      </w:r>
      <w:r>
        <w:rPr>
          <w:sz w:val="30"/>
          <w:szCs w:val="30"/>
        </w:rPr>
        <w:t>2021年全年预算调整2830.79万元，调整率92.94%</w:t>
      </w:r>
      <w:r>
        <w:rPr>
          <w:rFonts w:hint="eastAsia"/>
          <w:sz w:val="30"/>
          <w:szCs w:val="30"/>
        </w:rPr>
        <w:t>。</w:t>
      </w:r>
    </w:p>
    <w:p>
      <w:pPr>
        <w:widowControl/>
        <w:spacing w:line="500" w:lineRule="exact"/>
        <w:ind w:firstLine="645"/>
        <w:jc w:val="left"/>
        <w:rPr>
          <w:sz w:val="30"/>
          <w:szCs w:val="30"/>
        </w:rPr>
      </w:pPr>
      <w:r>
        <w:rPr>
          <w:rFonts w:hint="eastAsia"/>
          <w:sz w:val="30"/>
          <w:szCs w:val="30"/>
        </w:rPr>
        <w:t>2</w:t>
      </w:r>
      <w:r>
        <w:rPr>
          <w:sz w:val="30"/>
          <w:szCs w:val="30"/>
        </w:rPr>
        <w:t>.</w:t>
      </w:r>
      <w:r>
        <w:rPr>
          <w:rFonts w:hint="eastAsia"/>
          <w:sz w:val="30"/>
          <w:szCs w:val="30"/>
        </w:rPr>
        <w:t>绩效目标欠完整。单位部分专项资金绩效目标未纳入整体绩效目标中来。</w:t>
      </w:r>
    </w:p>
    <w:p>
      <w:pPr>
        <w:spacing w:line="500" w:lineRule="exact"/>
        <w:ind w:firstLine="600" w:firstLineChars="200"/>
        <w:rPr>
          <w:sz w:val="32"/>
          <w:szCs w:val="32"/>
          <w:lang w:bidi="ar"/>
        </w:rPr>
      </w:pPr>
      <w:r>
        <w:rPr>
          <w:rFonts w:hint="eastAsia"/>
          <w:sz w:val="30"/>
          <w:szCs w:val="30"/>
        </w:rPr>
        <w:t>3.</w:t>
      </w:r>
      <w:r>
        <w:rPr>
          <w:sz w:val="32"/>
          <w:szCs w:val="32"/>
          <w:lang w:bidi="ar"/>
        </w:rPr>
        <w:t>制度建设欠完善</w:t>
      </w:r>
    </w:p>
    <w:p>
      <w:pPr>
        <w:spacing w:line="500" w:lineRule="exact"/>
        <w:ind w:firstLine="640" w:firstLineChars="200"/>
        <w:rPr>
          <w:sz w:val="32"/>
          <w:szCs w:val="32"/>
          <w:lang w:bidi="ar"/>
        </w:rPr>
      </w:pPr>
      <w:r>
        <w:rPr>
          <w:sz w:val="32"/>
          <w:szCs w:val="32"/>
          <w:lang w:bidi="ar"/>
        </w:rPr>
        <w:t>单位</w:t>
      </w:r>
      <w:r>
        <w:rPr>
          <w:rFonts w:hint="eastAsia"/>
          <w:sz w:val="32"/>
          <w:szCs w:val="32"/>
          <w:lang w:bidi="ar"/>
        </w:rPr>
        <w:t>部分项目资金未制定</w:t>
      </w:r>
      <w:r>
        <w:rPr>
          <w:sz w:val="32"/>
          <w:szCs w:val="32"/>
          <w:lang w:bidi="ar"/>
        </w:rPr>
        <w:t>专项项目管理制度。</w:t>
      </w:r>
    </w:p>
    <w:p>
      <w:pPr>
        <w:pStyle w:val="2"/>
        <w:numPr>
          <w:ilvl w:val="0"/>
          <w:numId w:val="2"/>
        </w:numPr>
        <w:spacing w:line="500" w:lineRule="exact"/>
        <w:ind w:firstLine="640" w:firstLineChars="200"/>
        <w:rPr>
          <w:rFonts w:eastAsia="楷体_GB2312"/>
          <w:bCs/>
          <w:szCs w:val="32"/>
        </w:rPr>
      </w:pPr>
      <w:r>
        <w:rPr>
          <w:rFonts w:hint="eastAsia" w:eastAsia="楷体_GB2312"/>
          <w:bCs/>
          <w:szCs w:val="32"/>
        </w:rPr>
        <w:t>原因分析</w:t>
      </w:r>
    </w:p>
    <w:p>
      <w:pPr>
        <w:widowControl/>
        <w:spacing w:line="500" w:lineRule="exact"/>
        <w:ind w:firstLine="645"/>
        <w:jc w:val="left"/>
        <w:rPr>
          <w:sz w:val="30"/>
          <w:szCs w:val="30"/>
        </w:rPr>
      </w:pPr>
      <w:r>
        <w:rPr>
          <w:rFonts w:hint="eastAsia"/>
          <w:sz w:val="30"/>
          <w:szCs w:val="30"/>
        </w:rPr>
        <w:t>1.部门预算调整大的主要原因为</w:t>
      </w:r>
      <w:r>
        <w:rPr>
          <w:sz w:val="30"/>
          <w:szCs w:val="30"/>
        </w:rPr>
        <w:t>教育附加专项经费均不在部门年初预算编制范围内。</w:t>
      </w:r>
    </w:p>
    <w:p>
      <w:pPr>
        <w:widowControl/>
        <w:spacing w:line="500" w:lineRule="exact"/>
        <w:ind w:firstLine="645"/>
        <w:jc w:val="left"/>
        <w:rPr>
          <w:sz w:val="30"/>
          <w:szCs w:val="30"/>
        </w:rPr>
      </w:pPr>
      <w:r>
        <w:rPr>
          <w:rFonts w:hint="eastAsia"/>
          <w:sz w:val="30"/>
          <w:szCs w:val="30"/>
        </w:rPr>
        <w:t>2.部分专项资金年度工作计划确定较迟，指标下达时间较晚。</w:t>
      </w:r>
    </w:p>
    <w:p>
      <w:pPr>
        <w:pStyle w:val="2"/>
        <w:spacing w:line="500" w:lineRule="exact"/>
        <w:ind w:firstLine="640" w:firstLineChars="200"/>
        <w:rPr>
          <w:rFonts w:eastAsia="仿宋_GB2312"/>
          <w:szCs w:val="32"/>
          <w:lang w:bidi="ar"/>
        </w:rPr>
      </w:pPr>
      <w:r>
        <w:rPr>
          <w:rFonts w:hint="eastAsia" w:eastAsia="仿宋_GB2312"/>
          <w:szCs w:val="32"/>
          <w:lang w:bidi="ar"/>
        </w:rPr>
        <w:t>3.</w:t>
      </w:r>
      <w:r>
        <w:rPr>
          <w:rFonts w:eastAsia="仿宋_GB2312"/>
          <w:szCs w:val="32"/>
          <w:lang w:bidi="ar"/>
        </w:rPr>
        <w:t>与业务部门衔接度不高，未联合相关部门制定项目管理制度。</w:t>
      </w:r>
    </w:p>
    <w:p>
      <w:pPr>
        <w:widowControl/>
        <w:spacing w:line="500" w:lineRule="exact"/>
        <w:ind w:firstLine="640" w:firstLineChars="200"/>
        <w:jc w:val="left"/>
        <w:rPr>
          <w:rFonts w:eastAsia="黑体"/>
          <w:sz w:val="32"/>
          <w:szCs w:val="32"/>
        </w:rPr>
      </w:pPr>
      <w:r>
        <w:rPr>
          <w:rFonts w:eastAsia="黑体"/>
          <w:sz w:val="32"/>
          <w:szCs w:val="32"/>
        </w:rPr>
        <w:t>八、下一步改进措施</w:t>
      </w:r>
    </w:p>
    <w:p>
      <w:pPr>
        <w:spacing w:line="500" w:lineRule="exact"/>
        <w:ind w:firstLine="640" w:firstLineChars="200"/>
        <w:rPr>
          <w:rFonts w:eastAsia="楷体_GB2312"/>
          <w:bCs/>
          <w:sz w:val="32"/>
          <w:szCs w:val="32"/>
        </w:rPr>
      </w:pPr>
      <w:r>
        <w:rPr>
          <w:rFonts w:hint="eastAsia" w:eastAsia="楷体_GB2312"/>
          <w:bCs/>
          <w:sz w:val="32"/>
          <w:szCs w:val="32"/>
        </w:rPr>
        <w:t>（一）加强预算管理</w:t>
      </w:r>
    </w:p>
    <w:p>
      <w:pPr>
        <w:spacing w:line="500" w:lineRule="exact"/>
        <w:ind w:firstLine="640" w:firstLineChars="200"/>
        <w:rPr>
          <w:sz w:val="32"/>
          <w:szCs w:val="32"/>
          <w:lang w:bidi="ar"/>
        </w:rPr>
      </w:pPr>
      <w:r>
        <w:rPr>
          <w:rFonts w:hint="eastAsia"/>
          <w:sz w:val="32"/>
          <w:szCs w:val="32"/>
          <w:lang w:bidi="ar"/>
        </w:rPr>
        <w:t>我单位在来年编制预算时，加强与财政部门的沟通力度，科学、完整的编制单位预算。</w:t>
      </w:r>
    </w:p>
    <w:p>
      <w:pPr>
        <w:spacing w:line="500" w:lineRule="exact"/>
        <w:ind w:firstLine="640" w:firstLineChars="200"/>
        <w:rPr>
          <w:rFonts w:eastAsia="楷体_GB2312"/>
          <w:bCs/>
          <w:sz w:val="32"/>
          <w:szCs w:val="32"/>
        </w:rPr>
      </w:pPr>
      <w:r>
        <w:rPr>
          <w:rFonts w:hint="eastAsia" w:eastAsia="楷体_GB2312"/>
          <w:bCs/>
          <w:sz w:val="32"/>
          <w:szCs w:val="32"/>
        </w:rPr>
        <w:t>（二）</w:t>
      </w:r>
      <w:r>
        <w:rPr>
          <w:rFonts w:eastAsia="楷体_GB2312"/>
          <w:bCs/>
          <w:sz w:val="32"/>
          <w:szCs w:val="32"/>
        </w:rPr>
        <w:t>完整申报绩效目标</w:t>
      </w:r>
    </w:p>
    <w:p>
      <w:pPr>
        <w:spacing w:line="500" w:lineRule="exact"/>
        <w:ind w:firstLine="640" w:firstLineChars="200"/>
        <w:rPr>
          <w:sz w:val="32"/>
          <w:szCs w:val="32"/>
          <w:lang w:bidi="ar"/>
        </w:rPr>
      </w:pPr>
      <w:r>
        <w:rPr>
          <w:sz w:val="32"/>
          <w:szCs w:val="32"/>
          <w:lang w:bidi="ar"/>
        </w:rPr>
        <w:t>来年单位将根据当年工作计划科学、完整的申报绩效目标。</w:t>
      </w:r>
    </w:p>
    <w:p>
      <w:pPr>
        <w:spacing w:line="500" w:lineRule="exact"/>
        <w:ind w:firstLine="640" w:firstLineChars="200"/>
        <w:rPr>
          <w:rFonts w:eastAsia="楷体_GB2312"/>
          <w:bCs/>
          <w:sz w:val="32"/>
          <w:szCs w:val="32"/>
        </w:rPr>
      </w:pPr>
      <w:r>
        <w:rPr>
          <w:rFonts w:hint="eastAsia" w:eastAsia="楷体_GB2312"/>
          <w:bCs/>
          <w:sz w:val="32"/>
          <w:szCs w:val="32"/>
        </w:rPr>
        <w:t>（三）</w:t>
      </w:r>
      <w:r>
        <w:rPr>
          <w:rFonts w:eastAsia="楷体_GB2312"/>
          <w:bCs/>
          <w:sz w:val="32"/>
          <w:szCs w:val="32"/>
        </w:rPr>
        <w:t>加强制度建设</w:t>
      </w:r>
    </w:p>
    <w:p>
      <w:pPr>
        <w:spacing w:line="500" w:lineRule="exact"/>
        <w:ind w:firstLine="640" w:firstLineChars="200"/>
        <w:rPr>
          <w:sz w:val="32"/>
          <w:szCs w:val="32"/>
          <w:lang w:bidi="ar"/>
        </w:rPr>
      </w:pPr>
      <w:r>
        <w:rPr>
          <w:sz w:val="32"/>
          <w:szCs w:val="32"/>
          <w:lang w:bidi="ar"/>
        </w:rPr>
        <w:t>我单位将联合相关业务科室制定专门的专项项目管理制度，为项目管理提供制度依据，提高项目效益。</w:t>
      </w:r>
    </w:p>
    <w:p>
      <w:pPr>
        <w:widowControl/>
        <w:spacing w:line="500" w:lineRule="exact"/>
        <w:ind w:firstLine="645"/>
        <w:jc w:val="left"/>
        <w:rPr>
          <w:rFonts w:eastAsia="黑体"/>
          <w:sz w:val="32"/>
          <w:szCs w:val="32"/>
        </w:rPr>
      </w:pPr>
      <w:r>
        <w:rPr>
          <w:rFonts w:eastAsia="黑体"/>
          <w:sz w:val="32"/>
          <w:szCs w:val="32"/>
        </w:rPr>
        <w:t>九、部门整体支出绩效自评结果拟应用和公开情况</w:t>
      </w:r>
    </w:p>
    <w:p>
      <w:pPr>
        <w:spacing w:line="500" w:lineRule="exact"/>
        <w:ind w:firstLine="640" w:firstLineChars="200"/>
        <w:rPr>
          <w:sz w:val="32"/>
          <w:szCs w:val="32"/>
          <w:lang w:bidi="ar"/>
        </w:rPr>
      </w:pPr>
      <w:r>
        <w:rPr>
          <w:sz w:val="32"/>
          <w:szCs w:val="32"/>
          <w:lang w:bidi="ar"/>
        </w:rPr>
        <w:t>根据市财政相关部门统一部署，我单位2021年部门整体支出绩效自评情况将在单位门户网站公开，接受社会监督。对绩效自评工作中发现的问题及时整改，解决好绩效评价管理中存在的问题，提高工作效能。根据部门整体支出绩效评价指标评分标准，2021年我单位部门整体绩效评价自评分为</w:t>
      </w:r>
      <w:r>
        <w:rPr>
          <w:rFonts w:hint="eastAsia"/>
          <w:sz w:val="32"/>
          <w:szCs w:val="32"/>
          <w:lang w:bidi="ar"/>
        </w:rPr>
        <w:t>97.67</w:t>
      </w:r>
      <w:r>
        <w:rPr>
          <w:sz w:val="32"/>
          <w:szCs w:val="32"/>
          <w:lang w:bidi="ar"/>
        </w:rPr>
        <w:t>分。</w:t>
      </w:r>
    </w:p>
    <w:p>
      <w:pPr>
        <w:widowControl/>
        <w:spacing w:line="500" w:lineRule="exact"/>
        <w:ind w:firstLine="645"/>
        <w:jc w:val="left"/>
        <w:rPr>
          <w:rFonts w:eastAsia="黑体"/>
          <w:sz w:val="32"/>
          <w:szCs w:val="32"/>
        </w:rPr>
      </w:pPr>
      <w:r>
        <w:rPr>
          <w:rFonts w:eastAsia="黑体"/>
          <w:sz w:val="32"/>
          <w:szCs w:val="32"/>
        </w:rPr>
        <w:t>十、其他需要说明的情况</w:t>
      </w:r>
    </w:p>
    <w:p>
      <w:pPr>
        <w:widowControl/>
        <w:spacing w:line="500" w:lineRule="exact"/>
        <w:ind w:firstLine="645"/>
        <w:jc w:val="left"/>
        <w:rPr>
          <w:sz w:val="30"/>
          <w:szCs w:val="30"/>
        </w:rPr>
      </w:pPr>
      <w:r>
        <w:rPr>
          <w:rFonts w:hint="eastAsia"/>
          <w:sz w:val="30"/>
          <w:szCs w:val="30"/>
        </w:rPr>
        <w:t>因单位二级机构决算数据未批复，本报告数据未包含二级机构财务数据。</w:t>
      </w:r>
    </w:p>
    <w:p>
      <w:pPr>
        <w:pStyle w:val="2"/>
        <w:spacing w:line="500" w:lineRule="exact"/>
        <w:rPr>
          <w:sz w:val="30"/>
          <w:szCs w:val="30"/>
        </w:rPr>
      </w:pPr>
    </w:p>
    <w:p>
      <w:pPr>
        <w:pStyle w:val="2"/>
        <w:spacing w:line="500" w:lineRule="exact"/>
        <w:rPr>
          <w:sz w:val="30"/>
          <w:szCs w:val="30"/>
        </w:rPr>
      </w:pPr>
    </w:p>
    <w:p>
      <w:pPr>
        <w:widowControl/>
        <w:spacing w:line="500" w:lineRule="exact"/>
        <w:ind w:firstLine="645"/>
        <w:jc w:val="left"/>
        <w:rPr>
          <w:sz w:val="30"/>
          <w:szCs w:val="30"/>
        </w:rPr>
      </w:pPr>
      <w:r>
        <w:rPr>
          <w:sz w:val="30"/>
          <w:szCs w:val="30"/>
        </w:rPr>
        <w:t>附件：</w:t>
      </w:r>
    </w:p>
    <w:p>
      <w:pPr>
        <w:widowControl/>
        <w:spacing w:line="500" w:lineRule="exact"/>
        <w:ind w:firstLine="645"/>
        <w:jc w:val="left"/>
        <w:rPr>
          <w:sz w:val="30"/>
          <w:szCs w:val="30"/>
        </w:rPr>
      </w:pPr>
      <w:r>
        <w:rPr>
          <w:sz w:val="30"/>
          <w:szCs w:val="30"/>
        </w:rPr>
        <w:t>1.部门整体支出绩效评价基础数据表</w:t>
      </w:r>
    </w:p>
    <w:p>
      <w:pPr>
        <w:widowControl/>
        <w:spacing w:line="500" w:lineRule="exact"/>
        <w:ind w:firstLine="645"/>
        <w:jc w:val="left"/>
        <w:rPr>
          <w:sz w:val="30"/>
          <w:szCs w:val="30"/>
        </w:rPr>
      </w:pPr>
      <w:r>
        <w:rPr>
          <w:sz w:val="30"/>
          <w:szCs w:val="30"/>
        </w:rPr>
        <w:t>2.部门整体支出绩效自评表</w:t>
      </w:r>
    </w:p>
    <w:p>
      <w:pPr>
        <w:widowControl/>
        <w:spacing w:line="500" w:lineRule="exact"/>
        <w:ind w:firstLine="645"/>
        <w:jc w:val="left"/>
        <w:rPr>
          <w:rFonts w:eastAsia="仿宋"/>
          <w:color w:val="000000"/>
          <w:sz w:val="32"/>
          <w:szCs w:val="32"/>
        </w:rPr>
      </w:pPr>
      <w:r>
        <w:rPr>
          <w:sz w:val="30"/>
          <w:szCs w:val="30"/>
        </w:rPr>
        <w:t>3.项目支出绩效自评表（一个项目支出一张表）</w:t>
      </w:r>
    </w:p>
    <w:p>
      <w:pPr>
        <w:spacing w:line="500" w:lineRule="exact"/>
      </w:pPr>
    </w:p>
    <w:p>
      <w:pPr>
        <w:spacing w:line="500" w:lineRule="exact"/>
      </w:pPr>
      <w:r>
        <w:rPr>
          <w:rFonts w:hint="eastAsia"/>
        </w:rPr>
        <w:t xml:space="preserve">    </w:t>
      </w:r>
    </w:p>
    <w:p>
      <w:pPr>
        <w:widowControl/>
        <w:spacing w:line="500" w:lineRule="exact"/>
        <w:ind w:firstLine="645"/>
        <w:jc w:val="left"/>
        <w:rPr>
          <w:sz w:val="30"/>
          <w:szCs w:val="30"/>
        </w:rPr>
      </w:pPr>
    </w:p>
    <w:p>
      <w:pPr>
        <w:pStyle w:val="2"/>
        <w:spacing w:line="500" w:lineRule="exact"/>
        <w:rPr>
          <w:rFonts w:eastAsia="仿宋_GB2312"/>
          <w:sz w:val="30"/>
          <w:szCs w:val="30"/>
        </w:rPr>
      </w:pPr>
    </w:p>
    <w:p>
      <w:pPr>
        <w:pStyle w:val="2"/>
        <w:spacing w:line="500" w:lineRule="exact"/>
        <w:rPr>
          <w:rFonts w:eastAsia="仿宋_GB2312"/>
          <w:sz w:val="30"/>
          <w:szCs w:val="30"/>
        </w:rPr>
      </w:pPr>
    </w:p>
    <w:p>
      <w:pPr>
        <w:widowControl/>
        <w:spacing w:line="500" w:lineRule="exact"/>
        <w:ind w:firstLine="645"/>
        <w:jc w:val="right"/>
        <w:rPr>
          <w:sz w:val="30"/>
          <w:szCs w:val="30"/>
        </w:rPr>
      </w:pPr>
      <w:r>
        <w:rPr>
          <w:rFonts w:hint="eastAsia"/>
          <w:sz w:val="30"/>
          <w:szCs w:val="30"/>
        </w:rPr>
        <w:t>**市教育局</w:t>
      </w:r>
    </w:p>
    <w:p>
      <w:pPr>
        <w:widowControl/>
        <w:spacing w:line="500" w:lineRule="exact"/>
        <w:ind w:firstLine="645"/>
        <w:jc w:val="right"/>
        <w:rPr>
          <w:sz w:val="30"/>
          <w:szCs w:val="30"/>
        </w:rPr>
      </w:pPr>
      <w:r>
        <w:rPr>
          <w:rFonts w:hint="eastAsia"/>
          <w:sz w:val="30"/>
          <w:szCs w:val="30"/>
        </w:rPr>
        <w:t>2022年7月23日</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叶根友毛笔行书2.0版">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82DD9B"/>
    <w:multiLevelType w:val="singleLevel"/>
    <w:tmpl w:val="D382DD9B"/>
    <w:lvl w:ilvl="0" w:tentative="0">
      <w:start w:val="2"/>
      <w:numFmt w:val="chineseCounting"/>
      <w:suff w:val="nothing"/>
      <w:lvlText w:val="（%1）"/>
      <w:lvlJc w:val="left"/>
      <w:rPr>
        <w:rFonts w:hint="eastAsia"/>
      </w:rPr>
    </w:lvl>
  </w:abstractNum>
  <w:abstractNum w:abstractNumId="1">
    <w:nsid w:val="E77E36D8"/>
    <w:multiLevelType w:val="singleLevel"/>
    <w:tmpl w:val="E77E36D8"/>
    <w:lvl w:ilvl="0" w:tentative="0">
      <w:start w:val="4"/>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hOTgyZWNmN2Q0MDQzYmFiYzNjZmNmMmRiMDAzYjYifQ=="/>
  </w:docVars>
  <w:rsids>
    <w:rsidRoot w:val="D7F5C6E8"/>
    <w:rsid w:val="005E0FC8"/>
    <w:rsid w:val="0067612B"/>
    <w:rsid w:val="00D8462A"/>
    <w:rsid w:val="041F368B"/>
    <w:rsid w:val="06C905A4"/>
    <w:rsid w:val="0B5404DC"/>
    <w:rsid w:val="0DD90D3A"/>
    <w:rsid w:val="1D8A7671"/>
    <w:rsid w:val="1EF714FC"/>
    <w:rsid w:val="1EFD53CA"/>
    <w:rsid w:val="22DD2D2C"/>
    <w:rsid w:val="235C1499"/>
    <w:rsid w:val="27703055"/>
    <w:rsid w:val="321E2D8E"/>
    <w:rsid w:val="35973B40"/>
    <w:rsid w:val="37E58B0E"/>
    <w:rsid w:val="38104D2C"/>
    <w:rsid w:val="3ABE1FBB"/>
    <w:rsid w:val="3FFD445E"/>
    <w:rsid w:val="4A2762B8"/>
    <w:rsid w:val="53C6520D"/>
    <w:rsid w:val="57BDA83F"/>
    <w:rsid w:val="62391B1E"/>
    <w:rsid w:val="666E5614"/>
    <w:rsid w:val="677FA283"/>
    <w:rsid w:val="6FD150C3"/>
    <w:rsid w:val="6FFB3938"/>
    <w:rsid w:val="733D355C"/>
    <w:rsid w:val="73BB10EE"/>
    <w:rsid w:val="73EFEEE1"/>
    <w:rsid w:val="73FF14E9"/>
    <w:rsid w:val="75EFACF8"/>
    <w:rsid w:val="766E0C8E"/>
    <w:rsid w:val="76FFF031"/>
    <w:rsid w:val="77DFCB2B"/>
    <w:rsid w:val="79EFB67C"/>
    <w:rsid w:val="7B9FD535"/>
    <w:rsid w:val="7CFF7E7A"/>
    <w:rsid w:val="7EC33A42"/>
    <w:rsid w:val="7EFF463A"/>
    <w:rsid w:val="7FDB96EE"/>
    <w:rsid w:val="7FF883F1"/>
    <w:rsid w:val="7FFBAC53"/>
    <w:rsid w:val="AFE7C9D5"/>
    <w:rsid w:val="B3EBCEAB"/>
    <w:rsid w:val="BADC89D7"/>
    <w:rsid w:val="BB8A37A5"/>
    <w:rsid w:val="BEFBB108"/>
    <w:rsid w:val="BEFFD95C"/>
    <w:rsid w:val="C7BDD227"/>
    <w:rsid w:val="CFBFD52F"/>
    <w:rsid w:val="D77F75A2"/>
    <w:rsid w:val="D7F5C6E8"/>
    <w:rsid w:val="E7CB99EC"/>
    <w:rsid w:val="EA7DE20A"/>
    <w:rsid w:val="ECDFDB4D"/>
    <w:rsid w:val="F79133C9"/>
    <w:rsid w:val="F7BBB70C"/>
    <w:rsid w:val="FE6F07B6"/>
    <w:rsid w:val="FFAD7386"/>
    <w:rsid w:val="FFC33333"/>
    <w:rsid w:val="FFEF4B48"/>
    <w:rsid w:val="FFFB3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8"/>
      <w:szCs w:val="28"/>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customStyle="1" w:styleId="2">
    <w:name w:val="BodyText"/>
    <w:basedOn w:val="1"/>
    <w:qFormat/>
    <w:uiPriority w:val="0"/>
    <w:pPr>
      <w:spacing w:after="120"/>
      <w:textAlignment w:val="baseline"/>
    </w:pPr>
    <w:rPr>
      <w:rFonts w:eastAsia="宋体"/>
      <w:sz w:val="32"/>
      <w:szCs w:val="24"/>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paragraph" w:styleId="9">
    <w:name w:val="List Paragraph"/>
    <w:basedOn w:val="1"/>
    <w:qFormat/>
    <w:uiPriority w:val="99"/>
    <w:pPr>
      <w:ind w:firstLine="420" w:firstLineChars="200"/>
    </w:pPr>
    <w:rPr>
      <w:rFonts w:ascii="Calibri" w:hAnsi="Calibri"/>
      <w:szCs w:val="22"/>
    </w:rPr>
  </w:style>
  <w:style w:type="character" w:customStyle="1" w:styleId="10">
    <w:name w:val="页眉 Char"/>
    <w:basedOn w:val="7"/>
    <w:link w:val="4"/>
    <w:qFormat/>
    <w:uiPriority w:val="0"/>
    <w:rPr>
      <w:rFonts w:eastAsia="仿宋_GB2312"/>
      <w:kern w:val="2"/>
      <w:sz w:val="18"/>
      <w:szCs w:val="18"/>
    </w:rPr>
  </w:style>
  <w:style w:type="character" w:customStyle="1" w:styleId="11">
    <w:name w:val="last"/>
    <w:basedOn w:val="7"/>
    <w:uiPriority w:val="0"/>
  </w:style>
  <w:style w:type="character" w:customStyle="1" w:styleId="12">
    <w:name w:val="text"/>
    <w:basedOn w:val="7"/>
    <w:uiPriority w:val="0"/>
    <w:rPr>
      <w:color w:val="666666"/>
    </w:rPr>
  </w:style>
  <w:style w:type="character" w:customStyle="1" w:styleId="13">
    <w:name w:val="after"/>
    <w:basedOn w:val="7"/>
    <w:uiPriority w:val="0"/>
    <w:rPr>
      <w:shd w:val="clear" w:fill="FFFFFF"/>
    </w:rPr>
  </w:style>
  <w:style w:type="character" w:customStyle="1" w:styleId="14">
    <w:name w:val="bsharetext"/>
    <w:basedOn w:val="7"/>
    <w:uiPriority w:val="0"/>
  </w:style>
  <w:style w:type="character" w:customStyle="1" w:styleId="15">
    <w:name w:val="hover14"/>
    <w:basedOn w:val="7"/>
    <w:uiPriority w:val="0"/>
    <w:rPr>
      <w:color w:val="000000"/>
      <w:shd w:val="clear" w:fill="FFFFFF"/>
    </w:rPr>
  </w:style>
  <w:style w:type="character" w:customStyle="1" w:styleId="16">
    <w:name w:val="wx-space"/>
    <w:basedOn w:val="7"/>
    <w:uiPriority w:val="0"/>
  </w:style>
  <w:style w:type="character" w:customStyle="1" w:styleId="17">
    <w:name w:val="wx-space1"/>
    <w:basedOn w:val="7"/>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3916</Words>
  <Characters>4395</Characters>
  <Lines>5</Lines>
  <Paragraphs>9</Paragraphs>
  <TotalTime>6</TotalTime>
  <ScaleCrop>false</ScaleCrop>
  <LinksUpToDate>false</LinksUpToDate>
  <CharactersWithSpaces>4420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2022-08-30T10:28:00Z</dcterms:created>
  <dc:creator>greatwall</dc:creator>
  <cp:lastModifiedBy>明</cp:lastModifiedBy>
  <cp:lastPrinted>2022-07-05T10:01:00Z</cp:lastPrinted>
  <dcterms:modified xsi:type="dcterms:W3CDTF">2022-11-16T06:43:30Z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56444AA6572A41049FDC771A87FCCF1D</vt:lpwstr>
  </property>
</Properties>
</file>