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</w:rPr>
        <w:t>2021年度部门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kern w:val="0"/>
          <w:sz w:val="44"/>
          <w:szCs w:val="44"/>
          <w:lang w:eastAsia="zh-CN"/>
        </w:rPr>
        <w:t>专项资金自评表</w:t>
      </w:r>
    </w:p>
    <w:p>
      <w:pPr>
        <w:spacing w:line="560" w:lineRule="exact"/>
        <w:ind w:firstLine="640" w:firstLineChars="200"/>
        <w:rPr>
          <w:rFonts w:hint="eastAsia" w:ascii="Calibri" w:hAnsi="Calibri" w:eastAsia="方正楷体_GBK" w:cs="方正楷体_GBK"/>
          <w:b w:val="0"/>
          <w:bCs w:val="0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Calibri" w:hAnsi="Calibri" w:eastAsia="方正楷体_GBK" w:cs="方正楷体_GBK"/>
          <w:b w:val="0"/>
          <w:bCs w:val="0"/>
          <w:sz w:val="32"/>
          <w:szCs w:val="32"/>
        </w:rPr>
      </w:pPr>
      <w:r>
        <w:rPr>
          <w:rFonts w:hint="eastAsia" w:ascii="Calibri" w:hAnsi="Calibri" w:eastAsia="方正楷体_GBK" w:cs="方正楷体_GBK"/>
          <w:b w:val="0"/>
          <w:bCs w:val="0"/>
          <w:sz w:val="32"/>
          <w:szCs w:val="32"/>
          <w:lang w:eastAsia="zh-CN"/>
        </w:rPr>
        <w:t>一、</w:t>
      </w:r>
      <w:r>
        <w:rPr>
          <w:rFonts w:hint="eastAsia" w:ascii="Calibri" w:hAnsi="Calibri" w:eastAsia="方正楷体_GBK" w:cs="方正楷体_GBK"/>
          <w:b w:val="0"/>
          <w:bCs w:val="0"/>
          <w:sz w:val="32"/>
          <w:szCs w:val="32"/>
        </w:rPr>
        <w:t>专项资金基本情况</w:t>
      </w:r>
    </w:p>
    <w:p>
      <w:p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交通设施维护管理是充分贯彻落实上级指示精神，全面打造洁美、畅通、智慧、文明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桃花源</w:t>
      </w:r>
      <w:r>
        <w:rPr>
          <w:rFonts w:hint="eastAsia" w:ascii="仿宋_GB2312" w:hAnsi="仿宋" w:eastAsia="仿宋_GB2312"/>
          <w:sz w:val="32"/>
          <w:szCs w:val="32"/>
        </w:rPr>
        <w:t>，全力推进交通沿线环境整体提升，进一步擦亮城市品牌形象，开创交管工作高质量发展新格局的重要组成部分。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房屋建设物购建设业务技术用房项目，主要为解决公安分局办公场所不规范、用房设施不足问题，推进公安侦查、执法办案、政务服务、指挥调度等技术业务场所集中规范管理，提高办案能力，提升打击犯罪能力水平，维护社会和谐稳定</w:t>
      </w:r>
      <w:r>
        <w:rPr>
          <w:rFonts w:hint="eastAsia" w:ascii="仿宋_GB2312" w:hAnsi="仿宋" w:eastAsia="仿宋_GB2312"/>
          <w:sz w:val="32"/>
          <w:szCs w:val="32"/>
        </w:rPr>
        <w:t>。</w:t>
      </w:r>
      <w:bookmarkStart w:id="0" w:name="_Toc48572693"/>
    </w:p>
    <w:bookmarkEnd w:id="0"/>
    <w:p>
      <w:pPr>
        <w:spacing w:line="560" w:lineRule="exact"/>
        <w:ind w:firstLine="640" w:firstLineChars="200"/>
        <w:rPr>
          <w:rFonts w:eastAsia="方正楷体_GBK" w:cs="方正楷体_GBK"/>
          <w:b w:val="0"/>
          <w:bCs w:val="0"/>
          <w:sz w:val="32"/>
          <w:szCs w:val="32"/>
        </w:rPr>
      </w:pPr>
      <w:bookmarkStart w:id="1" w:name="_Toc48572695"/>
      <w:r>
        <w:rPr>
          <w:rFonts w:hint="eastAsia" w:eastAsia="方正楷体_GBK" w:cs="方正楷体_GBK"/>
          <w:b w:val="0"/>
          <w:bCs w:val="0"/>
          <w:sz w:val="32"/>
          <w:szCs w:val="32"/>
          <w:lang w:eastAsia="zh-CN"/>
        </w:rPr>
        <w:t>二、</w:t>
      </w:r>
      <w:r>
        <w:rPr>
          <w:rFonts w:hint="eastAsia" w:eastAsia="方正楷体_GBK" w:cs="方正楷体_GBK"/>
          <w:b w:val="0"/>
          <w:bCs w:val="0"/>
          <w:sz w:val="32"/>
          <w:szCs w:val="32"/>
        </w:rPr>
        <w:t>专项预算安排及执行情况</w:t>
      </w:r>
      <w:bookmarkEnd w:id="1"/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202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年专项资金预算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594</w:t>
      </w:r>
      <w:r>
        <w:rPr>
          <w:rFonts w:hint="eastAsia" w:ascii="仿宋_GB2312" w:hAnsi="仿宋" w:eastAsia="仿宋_GB2312"/>
          <w:sz w:val="32"/>
          <w:szCs w:val="32"/>
        </w:rPr>
        <w:t>万元，分为两个部分：（</w:t>
      </w:r>
      <w:r>
        <w:rPr>
          <w:rFonts w:ascii="仿宋_GB2312" w:hAnsi="仿宋" w:eastAsia="仿宋_GB2312"/>
          <w:sz w:val="32"/>
          <w:szCs w:val="32"/>
        </w:rPr>
        <w:t>1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其他公共服务支出房屋建筑物购建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358</w:t>
      </w:r>
      <w:bookmarkStart w:id="2" w:name="_GoBack"/>
      <w:bookmarkEnd w:id="2"/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.38</w:t>
      </w:r>
      <w:r>
        <w:rPr>
          <w:rFonts w:hint="eastAsia" w:ascii="仿宋_GB2312" w:hAnsi="仿宋" w:eastAsia="仿宋_GB2312"/>
          <w:sz w:val="32"/>
          <w:szCs w:val="32"/>
        </w:rPr>
        <w:t>万元；（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/>
          <w:sz w:val="32"/>
          <w:szCs w:val="32"/>
        </w:rPr>
        <w:t>）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其他公共安全支出基础设施建设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235.63万元</w:t>
      </w:r>
      <w:r>
        <w:rPr>
          <w:rFonts w:hint="eastAsia" w:ascii="仿宋_GB2312" w:hAnsi="仿宋" w:eastAsia="仿宋_GB2312"/>
          <w:sz w:val="32"/>
          <w:szCs w:val="32"/>
        </w:rPr>
        <w:t>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其他公共服务支出房屋建筑物购建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358.38</w:t>
      </w:r>
      <w:r>
        <w:rPr>
          <w:rFonts w:hint="eastAsia" w:ascii="仿宋_GB2312" w:hAnsi="仿宋" w:eastAsia="仿宋_GB2312"/>
          <w:sz w:val="32"/>
          <w:szCs w:val="32"/>
        </w:rPr>
        <w:t>万元，占资金总量的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60.3</w:t>
      </w:r>
      <w:r>
        <w:rPr>
          <w:rFonts w:ascii="仿宋_GB2312" w:hAnsi="仿宋" w:eastAsia="仿宋_GB2312"/>
          <w:sz w:val="32"/>
          <w:szCs w:val="32"/>
        </w:rPr>
        <w:t>%</w:t>
      </w:r>
      <w:r>
        <w:rPr>
          <w:rFonts w:hint="eastAsia" w:ascii="仿宋_GB2312" w:hAnsi="仿宋" w:eastAsia="仿宋_GB2312"/>
          <w:sz w:val="32"/>
          <w:szCs w:val="32"/>
        </w:rPr>
        <w:t>，主要用于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常德市业务技术用房项目建设。解决公安分局办公场所不规范、用房设施不足问题，推进公安侦查、执法办案、政务服务、指挥调度等技术业务场所集中规范管理，提高办案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能力，提升打击犯罪能力水平，维护社会和谐稳定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highlight w:val="none"/>
        </w:rPr>
      </w:pP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其他公共安全支出基础设施建设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235.63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万元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占资金总量的</w:t>
      </w:r>
      <w:r>
        <w:rPr>
          <w:rFonts w:hint="eastAsia" w:ascii="仿宋_GB2312" w:hAnsi="仿宋" w:eastAsia="仿宋_GB2312"/>
          <w:sz w:val="32"/>
          <w:szCs w:val="32"/>
          <w:highlight w:val="none"/>
          <w:lang w:val="en-US" w:eastAsia="zh-CN"/>
        </w:rPr>
        <w:t>39.7%，</w:t>
      </w:r>
      <w:r>
        <w:rPr>
          <w:rFonts w:hint="eastAsia" w:ascii="仿宋_GB2312" w:hAnsi="仿宋" w:eastAsia="仿宋_GB2312"/>
          <w:sz w:val="32"/>
          <w:szCs w:val="32"/>
          <w:highlight w:val="none"/>
          <w:lang w:eastAsia="zh-CN"/>
        </w:rPr>
        <w:t>主要用于智慧系统工程建设资金支付</w:t>
      </w:r>
      <w:r>
        <w:rPr>
          <w:rFonts w:hint="eastAsia" w:ascii="仿宋_GB2312" w:hAnsi="仿宋" w:eastAsia="仿宋_GB2312"/>
          <w:sz w:val="32"/>
          <w:szCs w:val="32"/>
          <w:highlight w:val="none"/>
        </w:rPr>
        <w:t>、维护，方式为按实结算，跟踪审计。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57EFC3"/>
    <w:multiLevelType w:val="singleLevel"/>
    <w:tmpl w:val="FE57EFC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VjZjNjODE4NjM4YThhODJiNjZhZDRlNDdiZGE2ZGIifQ=="/>
  </w:docVars>
  <w:rsids>
    <w:rsidRoot w:val="00000000"/>
    <w:rsid w:val="04D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2022-11-15T07:47:11Z</dcterms:created>
  <dc:creator>Administrator</dc:creator>
  <cp:lastModifiedBy>Administrator</cp:lastModifiedBy>
  <dcterms:modified xsi:type="dcterms:W3CDTF">2022-11-15T07:50:07Z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942B1B97626C450B8DCF87FC42383E70</vt:lpwstr>
  </property>
</Properties>
</file>