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2021年度部门整体支出绩效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/>
        </w:rPr>
        <w:t>自评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报告</w:t>
      </w:r>
    </w:p>
    <w:p>
      <w:pPr>
        <w:ind w:firstLine="643" w:firstLineChars="200"/>
        <w:jc w:val="center"/>
        <w:rPr>
          <w:rFonts w:hint="eastAsia" w:ascii="宋体" w:hAnsi="宋体" w:cs="黑体"/>
          <w:b/>
          <w:color w:val="000000"/>
          <w:kern w:val="0"/>
          <w:sz w:val="32"/>
          <w:szCs w:val="32"/>
        </w:rPr>
      </w:pPr>
    </w:p>
    <w:p>
      <w:pPr>
        <w:spacing w:line="560" w:lineRule="exact"/>
        <w:ind w:firstLine="645"/>
        <w:rPr>
          <w:rFonts w:eastAsia="方正楷体_GBK" w:cs="方正楷体_GBK"/>
          <w:sz w:val="32"/>
          <w:szCs w:val="32"/>
        </w:rPr>
      </w:pPr>
      <w:r>
        <w:rPr>
          <w:rFonts w:hint="eastAsia" w:eastAsia="方正楷体_GBK" w:cs="方正楷体_GBK"/>
          <w:sz w:val="32"/>
          <w:szCs w:val="32"/>
          <w:lang w:eastAsia="zh-CN"/>
        </w:rPr>
        <w:t>一、</w:t>
      </w:r>
      <w:r>
        <w:rPr>
          <w:rFonts w:hint="eastAsia" w:eastAsia="方正楷体_GBK" w:cs="方正楷体_GBK"/>
          <w:sz w:val="32"/>
          <w:szCs w:val="32"/>
        </w:rPr>
        <w:t>部门整体支出预算安排及执行情况</w:t>
      </w:r>
    </w:p>
    <w:p>
      <w:pPr>
        <w:spacing w:line="560" w:lineRule="exact"/>
        <w:ind w:firstLine="645"/>
        <w:rPr>
          <w:rFonts w:ascii="仿宋" w:hAnsi="仿宋" w:eastAsia="仿宋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ascii="仿宋_GB2312" w:hAnsi="仿宋" w:eastAsia="仿宋_GB2312"/>
          <w:sz w:val="32"/>
          <w:szCs w:val="32"/>
        </w:rPr>
        <w:t>年，</w:t>
      </w:r>
      <w:r>
        <w:rPr>
          <w:rFonts w:hint="eastAsia" w:ascii="仿宋_GB2312" w:hAnsi="仿宋" w:eastAsia="仿宋_GB2312"/>
          <w:sz w:val="32"/>
          <w:szCs w:val="32"/>
        </w:rPr>
        <w:t>本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部门</w:t>
      </w:r>
      <w:r>
        <w:rPr>
          <w:rFonts w:hint="eastAsia" w:ascii="仿宋_GB2312" w:hAnsi="仿宋" w:eastAsia="仿宋_GB2312"/>
          <w:sz w:val="32"/>
          <w:szCs w:val="32"/>
        </w:rPr>
        <w:t>整体支出</w:t>
      </w:r>
      <w:r>
        <w:rPr>
          <w:rFonts w:ascii="仿宋_GB2312" w:hAnsi="仿宋" w:eastAsia="仿宋_GB2312"/>
          <w:sz w:val="32"/>
          <w:szCs w:val="32"/>
        </w:rPr>
        <w:t>年初预算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2627.99</w:t>
      </w:r>
      <w:r>
        <w:rPr>
          <w:rFonts w:ascii="仿宋_GB2312" w:hAnsi="仿宋" w:eastAsia="仿宋_GB2312"/>
          <w:sz w:val="32"/>
          <w:szCs w:val="32"/>
        </w:rPr>
        <w:t>万元，实际支出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2627.99</w:t>
      </w:r>
      <w:r>
        <w:rPr>
          <w:rFonts w:ascii="仿宋_GB2312" w:hAnsi="仿宋" w:eastAsia="仿宋_GB2312"/>
          <w:sz w:val="32"/>
          <w:szCs w:val="32"/>
        </w:rPr>
        <w:t>万元，预算执行率为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</w:t>
      </w:r>
      <w:r>
        <w:rPr>
          <w:rFonts w:ascii="仿宋_GB2312" w:hAnsi="仿宋" w:eastAsia="仿宋_GB2312"/>
          <w:sz w:val="32"/>
          <w:szCs w:val="32"/>
        </w:rPr>
        <w:t>%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pStyle w:val="5"/>
        <w:numPr>
          <w:ilvl w:val="0"/>
          <w:numId w:val="1"/>
        </w:numPr>
        <w:spacing w:line="560" w:lineRule="exact"/>
        <w:ind w:left="990" w:leftChars="0"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部门</w:t>
      </w:r>
      <w:r>
        <w:rPr>
          <w:rFonts w:hint="eastAsia" w:ascii="仿宋" w:hAnsi="仿宋" w:eastAsia="仿宋"/>
          <w:sz w:val="32"/>
          <w:szCs w:val="32"/>
          <w:lang w:eastAsia="zh-CN"/>
        </w:rPr>
        <w:t>基本支出</w:t>
      </w:r>
      <w:r>
        <w:rPr>
          <w:rFonts w:ascii="仿宋" w:hAnsi="仿宋" w:eastAsia="仿宋"/>
          <w:sz w:val="32"/>
          <w:szCs w:val="32"/>
        </w:rPr>
        <w:t>预算及执行情况</w:t>
      </w:r>
    </w:p>
    <w:p>
      <w:pPr>
        <w:spacing w:line="560" w:lineRule="exact"/>
        <w:ind w:firstLine="6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ascii="仿宋_GB2312" w:hAnsi="仿宋" w:eastAsia="仿宋_GB2312"/>
          <w:sz w:val="32"/>
          <w:szCs w:val="32"/>
        </w:rPr>
        <w:t>年，本部门年初预算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2033.99</w:t>
      </w:r>
      <w:r>
        <w:rPr>
          <w:rFonts w:ascii="仿宋_GB2312" w:hAnsi="仿宋" w:eastAsia="仿宋_GB2312"/>
          <w:sz w:val="32"/>
          <w:szCs w:val="32"/>
        </w:rPr>
        <w:t>万元，实际支出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2033.99</w:t>
      </w:r>
      <w:r>
        <w:rPr>
          <w:rFonts w:ascii="仿宋_GB2312" w:hAnsi="仿宋" w:eastAsia="仿宋_GB2312"/>
          <w:sz w:val="32"/>
          <w:szCs w:val="32"/>
        </w:rPr>
        <w:t>万元，预算执行率为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</w:t>
      </w:r>
      <w:r>
        <w:rPr>
          <w:rFonts w:ascii="仿宋_GB2312" w:hAnsi="仿宋" w:eastAsia="仿宋_GB2312"/>
          <w:sz w:val="32"/>
          <w:szCs w:val="32"/>
        </w:rPr>
        <w:t>%。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其中人员经费年初预算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1243.86万元，实际支出1243.86万元，预算执行率为100%；公用经费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年初预算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790.13万元，实际支出790.13万元，预算执行率为100%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spacing w:line="560" w:lineRule="exact"/>
        <w:ind w:firstLine="6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2.本部门专项经费预算及执行情况</w:t>
      </w:r>
    </w:p>
    <w:p>
      <w:pPr>
        <w:spacing w:line="560" w:lineRule="exact"/>
        <w:ind w:firstLine="600"/>
        <w:rPr>
          <w:rFonts w:ascii="仿宋_GB2312" w:eastAsia="仿宋_GB2312"/>
          <w:sz w:val="32"/>
        </w:rPr>
      </w:pPr>
      <w:r>
        <w:rPr>
          <w:rFonts w:hint="eastAsia" w:ascii="仿宋" w:hAnsi="仿宋" w:eastAsia="仿宋"/>
          <w:sz w:val="32"/>
          <w:szCs w:val="32"/>
        </w:rPr>
        <w:t>（1）</w:t>
      </w:r>
      <w:r>
        <w:rPr>
          <w:rFonts w:ascii="仿宋_GB2312" w:hAnsi="仿宋" w:eastAsia="仿宋_GB2312"/>
          <w:sz w:val="32"/>
          <w:szCs w:val="32"/>
        </w:rPr>
        <w:t>20</w:t>
      </w:r>
      <w:r>
        <w:rPr>
          <w:rFonts w:hint="eastAsia" w:ascii="仿宋_GB2312" w:hAnsi="仿宋" w:eastAsia="仿宋_GB2312"/>
          <w:sz w:val="32"/>
          <w:szCs w:val="32"/>
        </w:rPr>
        <w:t>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ascii="仿宋_GB2312" w:hAnsi="仿宋" w:eastAsia="仿宋_GB2312"/>
          <w:sz w:val="32"/>
          <w:szCs w:val="32"/>
        </w:rPr>
        <w:t>年，</w:t>
      </w:r>
      <w:r>
        <w:rPr>
          <w:rFonts w:hint="eastAsia" w:ascii="仿宋_GB2312" w:hAnsi="仿宋" w:eastAsia="仿宋_GB2312"/>
          <w:sz w:val="32"/>
          <w:szCs w:val="32"/>
        </w:rPr>
        <w:t>本部门专项资金年初</w:t>
      </w:r>
      <w:r>
        <w:rPr>
          <w:rFonts w:ascii="仿宋_GB2312" w:hAnsi="仿宋" w:eastAsia="仿宋_GB2312"/>
          <w:sz w:val="32"/>
          <w:szCs w:val="32"/>
        </w:rPr>
        <w:t>预算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594</w:t>
      </w:r>
      <w:r>
        <w:rPr>
          <w:rFonts w:ascii="仿宋_GB2312" w:hAnsi="仿宋" w:eastAsia="仿宋_GB2312"/>
          <w:sz w:val="32"/>
          <w:szCs w:val="32"/>
        </w:rPr>
        <w:t>万元，实际支出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594</w:t>
      </w:r>
      <w:r>
        <w:rPr>
          <w:rFonts w:ascii="仿宋_GB2312" w:hAnsi="仿宋" w:eastAsia="仿宋_GB2312"/>
          <w:sz w:val="32"/>
          <w:szCs w:val="32"/>
        </w:rPr>
        <w:t>万元，预算执行率为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100</w:t>
      </w:r>
      <w:r>
        <w:rPr>
          <w:rFonts w:ascii="仿宋_GB2312" w:hAnsi="仿宋" w:eastAsia="仿宋_GB2312"/>
          <w:sz w:val="32"/>
          <w:szCs w:val="32"/>
        </w:rPr>
        <w:t>%。</w:t>
      </w:r>
      <w:r>
        <w:rPr>
          <w:rFonts w:hint="eastAsia" w:ascii="仿宋_GB2312" w:hAnsi="仿宋" w:eastAsia="仿宋_GB2312"/>
          <w:sz w:val="32"/>
          <w:szCs w:val="32"/>
        </w:rPr>
        <w:t>主要原因按规定要求，序时进度支付。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（2）</w:t>
      </w:r>
      <w:r>
        <w:rPr>
          <w:rFonts w:hint="eastAsia" w:ascii="仿宋_GB2312" w:hAnsi="仿宋" w:eastAsia="仿宋_GB2312"/>
          <w:sz w:val="32"/>
          <w:szCs w:val="32"/>
        </w:rPr>
        <w:t>对所管理的专项资金逐个进行基本情况介绍，内容包括设立</w:t>
      </w:r>
      <w:r>
        <w:rPr>
          <w:rFonts w:ascii="仿宋_GB2312" w:hAnsi="仿宋" w:eastAsia="仿宋_GB2312"/>
          <w:sz w:val="32"/>
          <w:szCs w:val="32"/>
        </w:rPr>
        <w:t>背景</w:t>
      </w:r>
      <w:r>
        <w:rPr>
          <w:rFonts w:hint="eastAsia" w:ascii="仿宋_GB2312" w:hAnsi="仿宋" w:eastAsia="仿宋_GB2312"/>
          <w:sz w:val="32"/>
          <w:szCs w:val="32"/>
        </w:rPr>
        <w:t>、政策</w:t>
      </w:r>
      <w:r>
        <w:rPr>
          <w:rFonts w:ascii="仿宋_GB2312" w:hAnsi="仿宋" w:eastAsia="仿宋_GB2312"/>
          <w:sz w:val="32"/>
          <w:szCs w:val="32"/>
        </w:rPr>
        <w:t>依据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ascii="仿宋_GB2312" w:hAnsi="仿宋" w:eastAsia="仿宋_GB2312"/>
          <w:sz w:val="32"/>
          <w:szCs w:val="32"/>
        </w:rPr>
        <w:t>组织管理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ascii="仿宋_GB2312" w:hAnsi="仿宋" w:eastAsia="仿宋_GB2312"/>
          <w:sz w:val="32"/>
          <w:szCs w:val="32"/>
        </w:rPr>
        <w:t>实施内容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ascii="仿宋_GB2312" w:hAnsi="仿宋" w:eastAsia="仿宋_GB2312"/>
          <w:sz w:val="32"/>
          <w:szCs w:val="32"/>
        </w:rPr>
        <w:t>预算安排及执行情况</w:t>
      </w:r>
      <w:r>
        <w:rPr>
          <w:rFonts w:hint="eastAsia" w:ascii="仿宋_GB2312" w:hAnsi="仿宋" w:eastAsia="仿宋_GB2312"/>
          <w:sz w:val="32"/>
          <w:szCs w:val="32"/>
        </w:rPr>
        <w:t>等。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二、评价组织与实施过程</w:t>
      </w:r>
    </w:p>
    <w:p>
      <w:pPr>
        <w:spacing w:line="560" w:lineRule="exact"/>
        <w:ind w:firstLine="640" w:firstLineChars="200"/>
        <w:rPr>
          <w:rFonts w:eastAsia="方正楷体_GBK" w:cs="方正楷体_GBK"/>
          <w:sz w:val="32"/>
          <w:szCs w:val="32"/>
        </w:rPr>
      </w:pPr>
      <w:r>
        <w:rPr>
          <w:rFonts w:hint="eastAsia" w:eastAsia="方正楷体_GBK" w:cs="方正楷体_GBK"/>
          <w:sz w:val="32"/>
          <w:szCs w:val="32"/>
        </w:rPr>
        <w:t>（一）绩效评价组织与职责分工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1.加强绩效管理工作。协助制定有关预算绩效评价制度、规程、标准，配合完善绩效评价指标体系；负责预算绩效评价工作。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2.加强会计信息质量和财经纪律执行工作。负责会计信息质量、财经纪律执行情况检查工作。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3.加强内控制度建设工作。协助制定完善有关内控制度，负责部门内部控制制度检查及评价工作。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4.办理其他事项。</w:t>
      </w:r>
    </w:p>
    <w:p>
      <w:pPr>
        <w:spacing w:line="560" w:lineRule="exact"/>
        <w:ind w:firstLine="640" w:firstLineChars="200"/>
        <w:rPr>
          <w:rFonts w:eastAsia="方正楷体_GBK" w:cs="方正楷体_GBK"/>
          <w:sz w:val="32"/>
          <w:szCs w:val="32"/>
        </w:rPr>
      </w:pPr>
      <w:r>
        <w:rPr>
          <w:rFonts w:hint="eastAsia" w:eastAsia="方正楷体_GBK" w:cs="方正楷体_GBK"/>
          <w:sz w:val="32"/>
          <w:szCs w:val="32"/>
        </w:rPr>
        <w:t>（二）评价的过程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 w:val="0"/>
          <w:bCs w:val="0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绩效评价是指运用一定的评价方法、量化指标及评价标准，对中央部门为实现其职能所确定的绩效目标的实现程度，及为实现这一目标所安排预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算的执行结果所进行的综合性评价。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1、成立分局202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</w:rPr>
        <w:t>年度部门整</w:t>
      </w:r>
      <w:r>
        <w:rPr>
          <w:rFonts w:hint="eastAsia" w:ascii="仿宋_GB2312" w:hAnsi="仿宋" w:eastAsia="仿宋_GB2312"/>
          <w:sz w:val="32"/>
          <w:szCs w:val="32"/>
        </w:rPr>
        <w:t>体支出绩效自评领导小组。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2、组织学习部门绩效考评相关文件规定。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3、各部门组织再学习，组织各部门总结梳理本部门工作。对照要求一一考评打分。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4、上报分局绩效考评情况。</w:t>
      </w:r>
    </w:p>
    <w:p>
      <w:pPr>
        <w:spacing w:line="56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三</w:t>
      </w:r>
      <w:r>
        <w:rPr>
          <w:rFonts w:ascii="黑体" w:eastAsia="黑体"/>
          <w:sz w:val="32"/>
          <w:szCs w:val="32"/>
        </w:rPr>
        <w:t>、主要成效</w:t>
      </w:r>
    </w:p>
    <w:p>
      <w:pPr>
        <w:spacing w:line="600" w:lineRule="exact"/>
        <w:ind w:firstLine="960" w:firstLineChars="300"/>
        <w:rPr>
          <w:rFonts w:hint="eastAsia" w:ascii="黑体" w:hAnsi="宋体" w:eastAsia="黑体"/>
          <w:sz w:val="32"/>
          <w:szCs w:val="32"/>
        </w:rPr>
      </w:pPr>
      <w:r>
        <w:rPr>
          <w:rFonts w:hint="eastAsia" w:ascii="黑体" w:hAnsi="宋体" w:eastAsia="黑体"/>
          <w:sz w:val="32"/>
          <w:szCs w:val="32"/>
        </w:rPr>
        <w:t>202</w:t>
      </w:r>
      <w:r>
        <w:rPr>
          <w:rFonts w:hint="eastAsia" w:ascii="黑体" w:hAnsi="宋体" w:eastAsia="黑体"/>
          <w:sz w:val="32"/>
          <w:szCs w:val="32"/>
          <w:lang w:val="en-US" w:eastAsia="zh-CN"/>
        </w:rPr>
        <w:t>1</w:t>
      </w:r>
      <w:r>
        <w:rPr>
          <w:rFonts w:hint="eastAsia" w:ascii="黑体" w:hAnsi="宋体" w:eastAsia="黑体"/>
          <w:sz w:val="32"/>
          <w:szCs w:val="32"/>
        </w:rPr>
        <w:t>年的情况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楷体" w:hAnsi="楷体" w:eastAsia="楷体" w:cs="仿宋"/>
          <w:b/>
          <w:bCs w:val="0"/>
          <w:sz w:val="32"/>
          <w:szCs w:val="32"/>
        </w:rPr>
        <w:t>（一）</w:t>
      </w:r>
      <w:r>
        <w:rPr>
          <w:rFonts w:hint="eastAsia" w:ascii="黑体" w:hAnsi="黑体" w:eastAsia="黑体" w:cs="黑体"/>
          <w:sz w:val="32"/>
          <w:szCs w:val="32"/>
        </w:rPr>
        <w:t>、全面推进队伍正规化建设，提升队伍战斗力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仿宋"/>
          <w:b/>
          <w:bCs w:val="0"/>
          <w:sz w:val="32"/>
          <w:szCs w:val="32"/>
        </w:rPr>
      </w:pPr>
      <w:r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  <w:t>1、</w:t>
      </w:r>
      <w:r>
        <w:rPr>
          <w:rFonts w:hint="eastAsia" w:ascii="楷体" w:hAnsi="楷体" w:eastAsia="楷体" w:cs="仿宋"/>
          <w:b/>
          <w:bCs w:val="0"/>
          <w:sz w:val="32"/>
          <w:szCs w:val="32"/>
        </w:rPr>
        <w:t>以教育整顿为抓手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2021年分局</w:t>
      </w:r>
      <w:r>
        <w:rPr>
          <w:rFonts w:hint="eastAsia" w:ascii="仿宋" w:hAnsi="仿宋" w:eastAsia="仿宋"/>
          <w:sz w:val="32"/>
          <w:szCs w:val="32"/>
        </w:rPr>
        <w:t>始终</w:t>
      </w:r>
      <w:r>
        <w:rPr>
          <w:rFonts w:ascii="仿宋" w:hAnsi="仿宋" w:eastAsia="仿宋"/>
          <w:sz w:val="32"/>
          <w:szCs w:val="32"/>
        </w:rPr>
        <w:t>把队伍教育整顿工作作为一项重要的政治任务抓实抓细</w:t>
      </w:r>
      <w:r>
        <w:rPr>
          <w:rFonts w:hint="eastAsia" w:ascii="仿宋" w:hAnsi="仿宋" w:eastAsia="仿宋"/>
          <w:sz w:val="32"/>
          <w:szCs w:val="32"/>
          <w:lang w:eastAsia="zh-CN"/>
        </w:rPr>
        <w:t>，以</w:t>
      </w:r>
      <w:r>
        <w:rPr>
          <w:rFonts w:hint="eastAsia" w:ascii="仿宋" w:hAnsi="仿宋" w:eastAsia="仿宋"/>
          <w:sz w:val="32"/>
          <w:szCs w:val="32"/>
        </w:rPr>
        <w:t>“六个全到位”、“六个不放过”举措全面推动队伍风气的净化，队伍顽瘴痼疾的革除，队伍整体实力的提升</w:t>
      </w:r>
      <w:r>
        <w:rPr>
          <w:rFonts w:hint="eastAsia" w:ascii="仿宋" w:hAnsi="仿宋" w:eastAsia="仿宋" w:cs="仿宋"/>
          <w:sz w:val="32"/>
          <w:szCs w:val="32"/>
        </w:rPr>
        <w:t>。</w:t>
      </w:r>
      <w:r>
        <w:rPr>
          <w:rFonts w:hint="eastAsia" w:ascii="仿宋" w:hAnsi="仿宋" w:eastAsia="仿宋"/>
          <w:sz w:val="32"/>
          <w:szCs w:val="32"/>
        </w:rPr>
        <w:t>共开展党组中心组学习6次，党组会专题研究3次，召开专题推进会12次。组织分局民辅警集中学习</w:t>
      </w:r>
      <w:r>
        <w:rPr>
          <w:rFonts w:ascii="仿宋" w:hAnsi="仿宋" w:eastAsia="仿宋"/>
          <w:sz w:val="32"/>
          <w:szCs w:val="32"/>
        </w:rPr>
        <w:t>38</w:t>
      </w:r>
      <w:r>
        <w:rPr>
          <w:rFonts w:hint="eastAsia" w:ascii="仿宋" w:hAnsi="仿宋" w:eastAsia="仿宋"/>
          <w:sz w:val="32"/>
          <w:szCs w:val="32"/>
        </w:rPr>
        <w:t>次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党组班子成员为各支部讲授党课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次。选树先进集体</w:t>
      </w:r>
      <w:r>
        <w:rPr>
          <w:rFonts w:ascii="仿宋" w:hAnsi="仿宋" w:eastAsia="仿宋"/>
          <w:sz w:val="32"/>
          <w:szCs w:val="32"/>
        </w:rPr>
        <w:t>3</w:t>
      </w:r>
      <w:r>
        <w:rPr>
          <w:rFonts w:hint="eastAsia" w:ascii="仿宋" w:hAnsi="仿宋" w:eastAsia="仿宋"/>
          <w:sz w:val="32"/>
          <w:szCs w:val="32"/>
        </w:rPr>
        <w:t>个，对</w:t>
      </w:r>
      <w:r>
        <w:rPr>
          <w:rFonts w:ascii="仿宋" w:hAnsi="仿宋" w:eastAsia="仿宋"/>
          <w:sz w:val="32"/>
          <w:szCs w:val="32"/>
        </w:rPr>
        <w:t>64</w:t>
      </w:r>
      <w:r>
        <w:rPr>
          <w:rFonts w:hint="eastAsia" w:ascii="仿宋" w:hAnsi="仿宋" w:eastAsia="仿宋"/>
          <w:sz w:val="32"/>
          <w:szCs w:val="32"/>
        </w:rPr>
        <w:t>名先进个人实施表彰。</w:t>
      </w:r>
      <w:r>
        <w:rPr>
          <w:rFonts w:hint="eastAsia" w:ascii="仿宋" w:hAnsi="仿宋" w:eastAsia="仿宋"/>
          <w:bCs/>
          <w:sz w:val="32"/>
          <w:szCs w:val="32"/>
        </w:rPr>
        <w:t>开展谈心谈话共计</w:t>
      </w:r>
      <w:r>
        <w:rPr>
          <w:rFonts w:ascii="仿宋" w:hAnsi="仿宋" w:eastAsia="仿宋"/>
          <w:bCs/>
          <w:sz w:val="32"/>
          <w:szCs w:val="32"/>
        </w:rPr>
        <w:t>3</w:t>
      </w:r>
      <w:r>
        <w:rPr>
          <w:rFonts w:hint="eastAsia" w:ascii="仿宋" w:hAnsi="仿宋" w:eastAsia="仿宋"/>
          <w:bCs/>
          <w:sz w:val="32"/>
          <w:szCs w:val="32"/>
        </w:rPr>
        <w:t>6人次。对标自纠自查</w:t>
      </w:r>
      <w:r>
        <w:rPr>
          <w:rFonts w:ascii="仿宋" w:hAnsi="仿宋" w:eastAsia="仿宋"/>
          <w:bCs/>
          <w:sz w:val="32"/>
          <w:szCs w:val="32"/>
        </w:rPr>
        <w:t>3</w:t>
      </w:r>
      <w:r>
        <w:rPr>
          <w:rFonts w:hint="eastAsia" w:ascii="仿宋" w:hAnsi="仿宋" w:eastAsia="仿宋"/>
          <w:bCs/>
          <w:sz w:val="32"/>
          <w:szCs w:val="32"/>
        </w:rPr>
        <w:t>大类</w:t>
      </w:r>
      <w:r>
        <w:rPr>
          <w:rFonts w:ascii="仿宋" w:hAnsi="仿宋" w:eastAsia="仿宋"/>
          <w:bCs/>
          <w:sz w:val="32"/>
          <w:szCs w:val="32"/>
        </w:rPr>
        <w:t>14</w:t>
      </w:r>
      <w:r>
        <w:rPr>
          <w:rFonts w:hint="eastAsia" w:ascii="仿宋" w:hAnsi="仿宋" w:eastAsia="仿宋"/>
          <w:bCs/>
          <w:sz w:val="32"/>
          <w:szCs w:val="32"/>
        </w:rPr>
        <w:t>项问题标准，发现的</w:t>
      </w:r>
      <w:r>
        <w:rPr>
          <w:rFonts w:ascii="仿宋" w:hAnsi="仿宋" w:eastAsia="仿宋"/>
          <w:bCs/>
          <w:sz w:val="32"/>
          <w:szCs w:val="32"/>
        </w:rPr>
        <w:t>2</w:t>
      </w:r>
      <w:r>
        <w:rPr>
          <w:rFonts w:hint="eastAsia" w:ascii="仿宋" w:hAnsi="仿宋" w:eastAsia="仿宋"/>
          <w:bCs/>
          <w:sz w:val="32"/>
          <w:szCs w:val="32"/>
        </w:rPr>
        <w:t>7起存疑案件与违规办理“迁农”户口12件，发布专项督查通报6件，整改率均达100%。收集群众意见建议14条，根据群众意见精准施策，立即交办意见11条，提请区党组研究3条。重点聚焦问题产生背后的深层次机制原因，全面查漏补缺，建立8项工作长效机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仿宋"/>
          <w:b/>
          <w:bCs w:val="0"/>
          <w:sz w:val="32"/>
          <w:szCs w:val="32"/>
          <w:lang w:eastAsia="zh-CN"/>
        </w:rPr>
      </w:pPr>
      <w:r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  <w:t>2、</w:t>
      </w:r>
      <w:r>
        <w:rPr>
          <w:rFonts w:hint="eastAsia" w:ascii="楷体" w:hAnsi="楷体" w:eastAsia="楷体" w:cs="仿宋"/>
          <w:b/>
          <w:bCs w:val="0"/>
          <w:sz w:val="32"/>
          <w:szCs w:val="32"/>
        </w:rPr>
        <w:t>以</w:t>
      </w:r>
      <w:r>
        <w:rPr>
          <w:rFonts w:hint="eastAsia" w:ascii="楷体" w:hAnsi="楷体" w:eastAsia="楷体" w:cs="仿宋"/>
          <w:b/>
          <w:bCs w:val="0"/>
          <w:sz w:val="32"/>
          <w:szCs w:val="32"/>
          <w:lang w:eastAsia="zh-CN"/>
        </w:rPr>
        <w:t>党建为引领</w:t>
      </w:r>
    </w:p>
    <w:p>
      <w:pPr>
        <w:pStyle w:val="2"/>
        <w:numPr>
          <w:ilvl w:val="0"/>
          <w:numId w:val="0"/>
        </w:numP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坚持把思想建党放在首位，以推进“两学一做”学习教育常态化制度化为抓手，不断深化党性教育和理论学习，筑牢忠诚警魂。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一是加强政治理论学习，牢牢把握政治方向。二是深入开展主题活动,坚定民警理想信念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三是规范党内政治生活，增强民警政治修养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四是扎实开展谈心谈话，及时修正队伍偏差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。</w:t>
      </w:r>
    </w:p>
    <w:p>
      <w:pPr>
        <w:pStyle w:val="2"/>
        <w:numPr>
          <w:ilvl w:val="0"/>
          <w:numId w:val="0"/>
        </w:numPr>
        <w:ind w:leftChars="200" w:firstLine="321" w:firstLineChars="100"/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  <w:t>3、以廉政建设为关键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在廉政建设中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定位于抓早抓小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宁听骂声，不听哭声，用铁的手腕维护纪律的权威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狠抓</w:t>
      </w:r>
      <w:r>
        <w:rPr>
          <w:rFonts w:hint="eastAsia" w:ascii="仿宋" w:hAnsi="仿宋" w:eastAsia="仿宋" w:cs="仿宋"/>
          <w:sz w:val="32"/>
          <w:szCs w:val="32"/>
        </w:rPr>
        <w:t>党风廉政建设责任的分解、落实工作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落实责任领导和责任人员，建立起一级抓一级、层层抓落实的责任体系。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明确党组</w:t>
      </w:r>
      <w:r>
        <w:rPr>
          <w:rFonts w:hint="eastAsia" w:ascii="仿宋" w:hAnsi="仿宋" w:eastAsia="仿宋" w:cs="仿宋"/>
          <w:sz w:val="32"/>
          <w:szCs w:val="32"/>
        </w:rPr>
        <w:t>班子成员每月如实填写“一岗双责”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履职</w:t>
      </w:r>
      <w:r>
        <w:rPr>
          <w:rFonts w:hint="eastAsia" w:ascii="仿宋" w:hAnsi="仿宋" w:eastAsia="仿宋" w:cs="仿宋"/>
          <w:sz w:val="32"/>
          <w:szCs w:val="32"/>
        </w:rPr>
        <w:t>情况，及时召开队伍监督管理形势分析会，研究部署党风廉政建设工作。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）</w:t>
      </w:r>
      <w:r>
        <w:rPr>
          <w:rFonts w:hint="eastAsia" w:ascii="黑体" w:hAnsi="黑体" w:eastAsia="黑体" w:cs="黑体"/>
          <w:sz w:val="32"/>
          <w:szCs w:val="32"/>
        </w:rPr>
        <w:t>全力维护社会政治稳定，确保治安秩序平稳</w:t>
      </w:r>
    </w:p>
    <w:p>
      <w:pPr>
        <w:pStyle w:val="2"/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  <w:t>1、狠抓县域警务风险防控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结合我区实际情况，以</w:t>
      </w:r>
      <w:r>
        <w:rPr>
          <w:rFonts w:ascii="仿宋" w:hAnsi="仿宋" w:eastAsia="仿宋" w:cs="仿宋"/>
          <w:sz w:val="32"/>
          <w:szCs w:val="32"/>
        </w:rPr>
        <w:t>15</w:t>
      </w:r>
      <w:r>
        <w:rPr>
          <w:rFonts w:hint="eastAsia" w:ascii="仿宋" w:hAnsi="仿宋" w:eastAsia="仿宋" w:cs="仿宋"/>
          <w:sz w:val="32"/>
          <w:szCs w:val="32"/>
        </w:rPr>
        <w:t>个村</w:t>
      </w:r>
      <w:r>
        <w:rPr>
          <w:rFonts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</w:rPr>
        <w:t>个居委会为评估对象，围绕“五个不发生”工作底线健全桃花源公安分局县域警务“八大机制”，出台分局县域警务“</w:t>
      </w:r>
      <w:r>
        <w:rPr>
          <w:rFonts w:ascii="仿宋" w:hAnsi="仿宋" w:eastAsia="仿宋" w:cs="仿宋"/>
          <w:sz w:val="32"/>
          <w:szCs w:val="32"/>
        </w:rPr>
        <w:t>1+4+8</w:t>
      </w:r>
      <w:r>
        <w:rPr>
          <w:rFonts w:hint="eastAsia" w:ascii="仿宋" w:hAnsi="仿宋" w:eastAsia="仿宋" w:cs="仿宋"/>
          <w:sz w:val="32"/>
          <w:szCs w:val="32"/>
        </w:rPr>
        <w:t>”机制，充分利用“333”巡逻防控工作体系，日常化开展加强“三区”巡逻防控，针对辖区重点行业、重点单位、重点场所进行大检査1300余次，高位推动了23家企业单位整改到位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全力确保全区社会大局平安稳定，有力地维护了我区社会政治稳定和治安大局平稳，确保了全区两年“零”进京非访。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2、</w:t>
      </w:r>
      <w:r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  <w:t>全面压实疫情防控责任。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" w:hAnsi="仿宋" w:eastAsia="仿宋_GB2312" w:cs="仿宋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7月银川市发布成都市确诊病例事件发生后，分局全员取消休假，</w:t>
      </w:r>
      <w:r>
        <w:rPr>
          <w:rFonts w:ascii="仿宋_GB2312" w:eastAsia="仿宋_GB2312"/>
          <w:sz w:val="32"/>
          <w:szCs w:val="32"/>
        </w:rPr>
        <w:t>全力</w:t>
      </w:r>
      <w:r>
        <w:rPr>
          <w:rFonts w:hint="eastAsia" w:ascii="仿宋_GB2312" w:eastAsia="仿宋_GB2312"/>
          <w:sz w:val="32"/>
          <w:szCs w:val="32"/>
        </w:rPr>
        <w:t>投入疫情防控工作，</w:t>
      </w:r>
      <w:r>
        <w:rPr>
          <w:rFonts w:ascii="仿宋_GB2312" w:eastAsia="仿宋_GB2312"/>
          <w:sz w:val="32"/>
          <w:szCs w:val="32"/>
        </w:rPr>
        <w:t>开展流调</w:t>
      </w:r>
      <w:r>
        <w:rPr>
          <w:rFonts w:hint="eastAsia" w:ascii="仿宋_GB2312" w:eastAsia="仿宋_GB2312"/>
          <w:sz w:val="32"/>
          <w:szCs w:val="32"/>
        </w:rPr>
        <w:t>溯源，协助开展核酸检测，设置关卡严格管控人员出入，严打各类涉疫情违法犯罪。充分发挥“333”社会面巡防机制强化重点场所单位管控，严格落实疫情防控“三查”，有力保障了桃花源疫情防控的有序开展。</w:t>
      </w:r>
    </w:p>
    <w:p>
      <w:pPr>
        <w:pStyle w:val="2"/>
        <w:numPr>
          <w:ilvl w:val="0"/>
          <w:numId w:val="0"/>
        </w:numPr>
        <w:ind w:leftChars="200" w:firstLine="321" w:firstLineChars="100"/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  <w:t>3、加大巡防密度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今年来分局依托分局“333”社会巡逻防控机制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严格落实“135”快反机制，实现“有警处警，无警巡逻”的“动中备勤”，加强对社会治安的管控能力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全年共开展巡逻2300余次，出动巡逻3000余人次，出动车辆1100余台次，提供便民服务与游客咨询服务650余次，调解纠纷60余次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/>
          <w:sz w:val="32"/>
          <w:szCs w:val="32"/>
        </w:rPr>
        <w:t>健全校园安全管理责任体系，组建桃花源“一呼百应”联勤护学队依托“护学岗”、“333”巡防队伍实行对校园及周边“白+黑”全天候守护，有效震慑涉校违法犯罪，提升校园安全系数。</w:t>
      </w:r>
    </w:p>
    <w:p>
      <w:pPr>
        <w:pStyle w:val="2"/>
        <w:numPr>
          <w:ilvl w:val="0"/>
          <w:numId w:val="0"/>
        </w:numPr>
        <w:ind w:leftChars="200" w:firstLine="321" w:firstLineChars="100"/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  <w:t>4、严厉打击违法犯罪</w:t>
      </w:r>
    </w:p>
    <w:p>
      <w:pPr>
        <w:pStyle w:val="2"/>
        <w:numPr>
          <w:ilvl w:val="0"/>
          <w:numId w:val="0"/>
        </w:numP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2"/>
          <w:szCs w:val="32"/>
          <w:lang w:val="en-US" w:eastAsia="zh-CN" w:bidi="ar-SA"/>
        </w:rPr>
        <w:t>分局不断强化破案打击主业责任意识，持续加压发力，2021年圆满完成市、区两级绩效考核工作指标任务2021年以来，全区立刑事案件50起，破案26起，受理行政案件30起，办结行政案件29起，抓获各类违法犯罪嫌疑人60人，相比2021年抓获人数上升55%，采取刑事强制措施46人，同比上升50%，行政处罚22人，移送起诉43人，同比上升36.67%。积极探索、合成作战新模式，健全完善警务合作机制，加强分局和周边区县警方的整体联动，最大限度的形成侦查破案，打击犯罪的强大合力。</w:t>
      </w:r>
    </w:p>
    <w:p>
      <w:pPr>
        <w:pStyle w:val="2"/>
        <w:numPr>
          <w:ilvl w:val="0"/>
          <w:numId w:val="0"/>
        </w:numPr>
        <w:ind w:leftChars="200" w:firstLine="321" w:firstLineChars="100"/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  <w:t>5、抓基层基础，夯实工作根基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一是抓好了基础信息采集服务大数据警务。</w:t>
      </w:r>
      <w:r>
        <w:rPr>
          <w:rFonts w:hint="eastAsia" w:ascii="仿宋" w:hAnsi="仿宋" w:eastAsia="仿宋"/>
          <w:sz w:val="32"/>
          <w:szCs w:val="32"/>
        </w:rPr>
        <w:t>二代指纹、Y库、三实信息采集率始终均稳居全市前列，公安外部数据归集上传达数万条</w:t>
      </w:r>
      <w:r>
        <w:rPr>
          <w:rFonts w:hint="eastAsia" w:ascii="仿宋" w:hAnsi="仿宋" w:eastAsia="仿宋"/>
          <w:sz w:val="32"/>
          <w:szCs w:val="32"/>
          <w:lang w:eastAsia="zh-CN"/>
        </w:rPr>
        <w:t>。二是</w:t>
      </w:r>
      <w:r>
        <w:rPr>
          <w:rFonts w:hint="eastAsia" w:ascii="仿宋" w:hAnsi="仿宋" w:eastAsia="仿宋"/>
          <w:b w:val="0"/>
          <w:bCs/>
          <w:sz w:val="32"/>
          <w:szCs w:val="32"/>
        </w:rPr>
        <w:t>抓好了硬件基础建设服务分局长远发展。</w:t>
      </w:r>
      <w:r>
        <w:rPr>
          <w:rFonts w:hint="eastAsia" w:ascii="仿宋" w:hAnsi="仿宋" w:eastAsia="仿宋"/>
          <w:sz w:val="32"/>
          <w:szCs w:val="32"/>
        </w:rPr>
        <w:t>将分局业务技术用房建设纳入“十四五”规划，现已正式启动建设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新建50余个“雪亮工程”建设摄像头，完善桃花源治安“天网”，完成11个中小学幼儿园人脸识别摄像头建设，确保校园及周边师生群众安全。</w:t>
      </w:r>
    </w:p>
    <w:p>
      <w:pPr>
        <w:pStyle w:val="2"/>
        <w:numPr>
          <w:ilvl w:val="0"/>
          <w:numId w:val="0"/>
        </w:numPr>
        <w:ind w:leftChars="200" w:firstLine="321" w:firstLineChars="100"/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  <w:t>6、抓政务服务，提升群众满意度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一是坚持为人民服务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从警风警纪、接警处警、群众意见箱、便民服务窗口等内容方面明确工作要求，坚持开门纳谏听建议，设立收集人民群众意见箱，听取群众的意见和建议，自觉接受群众的批评和监督。全局累计走访各类群众500余人次，收集群众的意见建议16条，帮助解决属公安职能范围内事项15件。</w:t>
      </w:r>
      <w:r>
        <w:rPr>
          <w:rFonts w:hint="eastAsia" w:ascii="仿宋" w:hAnsi="仿宋" w:eastAsia="仿宋"/>
          <w:b/>
          <w:bCs/>
          <w:sz w:val="32"/>
          <w:szCs w:val="32"/>
        </w:rPr>
        <w:t>二是护航企业发展。</w:t>
      </w:r>
      <w:r>
        <w:rPr>
          <w:rFonts w:hint="eastAsia" w:ascii="仿宋" w:hAnsi="仿宋" w:eastAsia="仿宋"/>
          <w:sz w:val="32"/>
          <w:szCs w:val="32"/>
        </w:rPr>
        <w:t>坚持警企共建共治共享，探索“警企中心+社区警务室”新阵地，</w:t>
      </w:r>
      <w:r>
        <w:rPr>
          <w:rFonts w:hint="eastAsia" w:ascii="仿宋" w:hAnsi="仿宋" w:eastAsia="仿宋"/>
          <w:sz w:val="32"/>
          <w:szCs w:val="32"/>
          <w:lang w:eastAsia="zh-CN"/>
        </w:rPr>
        <w:t>依托“三高四新”政策</w:t>
      </w:r>
      <w:r>
        <w:rPr>
          <w:rFonts w:hint="eastAsia" w:ascii="仿宋" w:hAnsi="仿宋" w:eastAsia="仿宋"/>
          <w:sz w:val="32"/>
          <w:szCs w:val="32"/>
        </w:rPr>
        <w:t>为企业发展护航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收集企业意见建议及问题线索19条，建立社区联防队与企业保安队联勤联防制度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实行划片包干责任制服务企业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b/>
          <w:bCs/>
          <w:sz w:val="32"/>
          <w:szCs w:val="32"/>
        </w:rPr>
        <w:t>三是办实民生事。</w:t>
      </w:r>
      <w:r>
        <w:rPr>
          <w:rFonts w:hint="eastAsia" w:ascii="仿宋_GB2312" w:hAnsi="宋体" w:eastAsia="仿宋_GB2312"/>
          <w:sz w:val="32"/>
          <w:szCs w:val="32"/>
        </w:rPr>
        <w:t>2021年以来，共</w:t>
      </w:r>
      <w:r>
        <w:rPr>
          <w:rFonts w:hint="eastAsia" w:ascii="仿宋" w:hAnsi="仿宋" w:eastAsia="仿宋"/>
          <w:sz w:val="32"/>
          <w:szCs w:val="32"/>
        </w:rPr>
        <w:t>解决群众求助200余件，解决游客求助6000余件，主动上门采集二代身份证指纹2859人，为不方便群众入户办证58人，为无户籍人员补办户口2件。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（三）当前存在问题及下一步工作计划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4" w:firstLineChars="3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  <w:t>1、存在问题：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一是理论联系实际有欠缺。</w:t>
      </w:r>
      <w:r>
        <w:rPr>
          <w:rFonts w:hint="eastAsia" w:ascii="仿宋" w:hAnsi="仿宋" w:eastAsia="仿宋" w:cs="仿宋"/>
          <w:sz w:val="32"/>
          <w:szCs w:val="32"/>
        </w:rPr>
        <w:t>对党建工作研究不深入、不系统，工作成效不够明显。没有把党建和业务工作真正的融合起来，没有把抓党建作为硬任务、硬指标、抓落实，忽视了“以党建促业务”的重要性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。二是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制度落实不够严格，</w:t>
      </w:r>
      <w:r>
        <w:rPr>
          <w:rFonts w:hint="eastAsia" w:ascii="仿宋" w:hAnsi="仿宋" w:eastAsia="仿宋" w:cs="仿宋"/>
          <w:sz w:val="32"/>
          <w:szCs w:val="32"/>
        </w:rPr>
        <w:t>开展队伍经常性教育和经常性管理工作不到位，党员民警的先锋模范作用发挥得不够到位，落实推动工作的能力不足。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党建工作力度有欠缺，对于工作缺乏系统思考</w:t>
      </w:r>
      <w:r>
        <w:rPr>
          <w:rFonts w:hint="eastAsia" w:ascii="仿宋" w:hAnsi="仿宋" w:eastAsia="仿宋" w:cs="仿宋"/>
          <w:sz w:val="32"/>
          <w:szCs w:val="32"/>
        </w:rPr>
        <w:t>，依赖上级部门统一部署，对党员日常学习、工作监督力度不够，党员先锋模范作用发挥不充分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3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仿宋"/>
          <w:b/>
          <w:bCs w:val="0"/>
          <w:sz w:val="32"/>
          <w:szCs w:val="32"/>
          <w:lang w:val="en-US" w:eastAsia="zh-CN"/>
        </w:rPr>
        <w:t>2、下一步工作计划：</w:t>
      </w: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一是坚持“党建+公安工作”，推动工作全面发展。找准党建工作与公安工作的最佳结合点，确定党建工作主题，做好党建工作规划，明确党建工作任务，细化考核标准，强化党建工作监督，严格兑现奖惩，真正做到党建工作与业务工作同部署、同检查、同考核，助推全局工作提质增效。二是坚持“党建+队伍建设”,促进队伍健康发展。坚持用习近平新时代中国特色社会主义思想武装全警头脑，不断增强“四个”意识。巩固“三纠三促”专项行动成果，通过有力的问责问效，促进民警作风转变、队伍素质提升、工作效能提高。三是坚持“党建+群众满意”，提升服务群众满意度。从窗口服务、治安防范、社会管理等服务领域入手，创造性贯彻落实好便民利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惠民举措,进一步提升为民服务能力，着力提升公众安全感、满意度。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6F787C"/>
    <w:multiLevelType w:val="multilevel"/>
    <w:tmpl w:val="626F787C"/>
    <w:lvl w:ilvl="0" w:tentative="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70" w:hanging="420"/>
      </w:pPr>
    </w:lvl>
    <w:lvl w:ilvl="2" w:tentative="0">
      <w:start w:val="1"/>
      <w:numFmt w:val="lowerRoman"/>
      <w:lvlText w:val="%3."/>
      <w:lvlJc w:val="right"/>
      <w:pPr>
        <w:ind w:left="1890" w:hanging="420"/>
      </w:pPr>
    </w:lvl>
    <w:lvl w:ilvl="3" w:tentative="0">
      <w:start w:val="1"/>
      <w:numFmt w:val="decimal"/>
      <w:lvlText w:val="%4."/>
      <w:lvlJc w:val="left"/>
      <w:pPr>
        <w:ind w:left="2310" w:hanging="420"/>
      </w:pPr>
    </w:lvl>
    <w:lvl w:ilvl="4" w:tentative="0">
      <w:start w:val="1"/>
      <w:numFmt w:val="lowerLetter"/>
      <w:lvlText w:val="%5)"/>
      <w:lvlJc w:val="left"/>
      <w:pPr>
        <w:ind w:left="2730" w:hanging="420"/>
      </w:pPr>
    </w:lvl>
    <w:lvl w:ilvl="5" w:tentative="0">
      <w:start w:val="1"/>
      <w:numFmt w:val="lowerRoman"/>
      <w:lvlText w:val="%6."/>
      <w:lvlJc w:val="right"/>
      <w:pPr>
        <w:ind w:left="3150" w:hanging="420"/>
      </w:pPr>
    </w:lvl>
    <w:lvl w:ilvl="6" w:tentative="0">
      <w:start w:val="1"/>
      <w:numFmt w:val="decimal"/>
      <w:lvlText w:val="%7."/>
      <w:lvlJc w:val="left"/>
      <w:pPr>
        <w:ind w:left="3570" w:hanging="420"/>
      </w:pPr>
    </w:lvl>
    <w:lvl w:ilvl="7" w:tentative="0">
      <w:start w:val="1"/>
      <w:numFmt w:val="lowerLetter"/>
      <w:lvlText w:val="%8)"/>
      <w:lvlJc w:val="left"/>
      <w:pPr>
        <w:ind w:left="3990" w:hanging="420"/>
      </w:pPr>
    </w:lvl>
    <w:lvl w:ilvl="8" w:tentative="0">
      <w:start w:val="1"/>
      <w:numFmt w:val="lowerRoman"/>
      <w:lvlText w:val="%9."/>
      <w:lvlJc w:val="right"/>
      <w:pPr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ZjNjODE4NjM4YThhODJiNjZhZDRlNDdiZGE2ZGIifQ=="/>
  </w:docVars>
  <w:rsids>
    <w:rsidRoot w:val="00000000"/>
    <w:rsid w:val="41240665"/>
    <w:rsid w:val="75E4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3208</Words>
  <Characters>3387</Characters>
  <Lines>0</Lines>
  <Paragraphs>0</Paragraphs>
  <TotalTime>3</TotalTime>
  <ScaleCrop>false</ScaleCrop>
  <LinksUpToDate>false</LinksUpToDate>
  <CharactersWithSpaces>3388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2022-11-15T07:36:25Z</dcterms:created>
  <dc:creator>Administrator</dc:creator>
  <cp:lastModifiedBy>Administrator</cp:lastModifiedBy>
  <dcterms:modified xsi:type="dcterms:W3CDTF">2022-11-15T07:46:40Z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67CB0579D81C4A4B91D4FC304F08EBB8</vt:lpwstr>
  </property>
</Properties>
</file>