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2021年</w:t>
      </w:r>
      <w:r>
        <w:rPr>
          <w:rFonts w:hint="eastAsia" w:eastAsia="方正小标宋_GBK"/>
          <w:sz w:val="52"/>
          <w:szCs w:val="52"/>
          <w:lang w:eastAsia="zh-CN"/>
        </w:rPr>
        <w:t>劳保中心</w:t>
      </w:r>
      <w:r>
        <w:rPr>
          <w:rFonts w:eastAsia="方正小标宋_GBK"/>
          <w:sz w:val="52"/>
          <w:szCs w:val="52"/>
        </w:rPr>
        <w:t>整体支出</w:t>
      </w:r>
    </w:p>
    <w:p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绩效自评报告</w:t>
      </w:r>
    </w:p>
    <w:p>
      <w:pPr>
        <w:jc w:val="center"/>
        <w:rPr>
          <w:rFonts w:eastAsia="方正小标宋_GBK"/>
          <w:b/>
          <w:sz w:val="52"/>
          <w:szCs w:val="5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pStyle w:val="2"/>
        <w:rPr>
          <w:rFonts w:eastAsia="黑体"/>
          <w:sz w:val="32"/>
          <w:szCs w:val="32"/>
        </w:rPr>
      </w:pPr>
    </w:p>
    <w:p>
      <w:pPr>
        <w:pStyle w:val="2"/>
        <w:rPr>
          <w:rFonts w:eastAsia="黑体"/>
          <w:sz w:val="32"/>
          <w:szCs w:val="32"/>
        </w:rPr>
      </w:pPr>
    </w:p>
    <w:p>
      <w:pPr>
        <w:pStyle w:val="2"/>
        <w:rPr>
          <w:rFonts w:eastAsia="黑体"/>
          <w:sz w:val="32"/>
          <w:szCs w:val="32"/>
        </w:rPr>
      </w:pPr>
    </w:p>
    <w:p>
      <w:pPr>
        <w:pStyle w:val="2"/>
        <w:rPr>
          <w:rFonts w:eastAsia="黑体"/>
          <w:sz w:val="32"/>
          <w:szCs w:val="32"/>
        </w:rPr>
      </w:pPr>
    </w:p>
    <w:p>
      <w:pPr>
        <w:pStyle w:val="2"/>
        <w:rPr>
          <w:rFonts w:eastAsia="黑体"/>
          <w:sz w:val="32"/>
          <w:szCs w:val="32"/>
        </w:rPr>
      </w:pPr>
    </w:p>
    <w:p>
      <w:pPr>
        <w:spacing w:line="600" w:lineRule="exact"/>
        <w:jc w:val="center"/>
        <w:rPr>
          <w:rFonts w:hint="default" w:eastAsia="仿宋"/>
          <w:sz w:val="32"/>
          <w:szCs w:val="32"/>
          <w:u w:val="single"/>
          <w:lang w:val="en-US" w:eastAsia="zh-CN"/>
        </w:rPr>
      </w:pPr>
      <w:r>
        <w:rPr>
          <w:rFonts w:eastAsia="仿宋"/>
          <w:sz w:val="32"/>
          <w:szCs w:val="32"/>
        </w:rPr>
        <w:t>单位名称：</w:t>
      </w:r>
      <w:r>
        <w:rPr>
          <w:rFonts w:hint="eastAsia" w:eastAsia="仿宋"/>
          <w:sz w:val="32"/>
          <w:szCs w:val="32"/>
          <w:lang w:val="en-US" w:eastAsia="zh-CN"/>
        </w:rPr>
        <w:t>桃花源旅游管理区劳动保障中心</w:t>
      </w:r>
    </w:p>
    <w:p>
      <w:pPr>
        <w:spacing w:line="600" w:lineRule="exact"/>
        <w:jc w:val="center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2022年</w:t>
      </w:r>
      <w:r>
        <w:rPr>
          <w:rFonts w:hint="eastAsia" w:eastAsia="仿宋"/>
          <w:sz w:val="32"/>
          <w:szCs w:val="32"/>
          <w:lang w:val="en-US" w:eastAsia="zh-CN"/>
        </w:rPr>
        <w:t>11</w:t>
      </w:r>
      <w:r>
        <w:rPr>
          <w:rFonts w:eastAsia="仿宋"/>
          <w:sz w:val="32"/>
          <w:szCs w:val="32"/>
        </w:rPr>
        <w:t>月</w:t>
      </w:r>
      <w:r>
        <w:rPr>
          <w:rFonts w:hint="eastAsia" w:eastAsia="仿宋"/>
          <w:sz w:val="32"/>
          <w:szCs w:val="32"/>
          <w:lang w:val="en-US" w:eastAsia="zh-CN"/>
        </w:rPr>
        <w:t>21</w:t>
      </w:r>
      <w:r>
        <w:rPr>
          <w:rFonts w:eastAsia="仿宋"/>
          <w:sz w:val="32"/>
          <w:szCs w:val="32"/>
        </w:rPr>
        <w:t>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2021年度</w:t>
      </w:r>
      <w:r>
        <w:rPr>
          <w:rFonts w:hint="eastAsia" w:eastAsia="方正小标宋_GBK"/>
          <w:sz w:val="44"/>
          <w:szCs w:val="44"/>
          <w:lang w:eastAsia="zh-CN"/>
        </w:rPr>
        <w:t>区劳保中心</w:t>
      </w:r>
      <w:r>
        <w:rPr>
          <w:rFonts w:eastAsia="方正小标宋_GBK"/>
          <w:sz w:val="44"/>
          <w:szCs w:val="44"/>
        </w:rPr>
        <w:t>整体支出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绩效自评报告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rPr>
          <w:rFonts w:eastAsia="黑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一、部门（单位）基本情况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（一）机构、人员构成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桃花源旅游管理保障中心为区组织人事科二级机构，人员编制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人，截止2021年12月份在职人员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人，离退休人员1人，临聘人员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单位主要职责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贯彻落实国家、省、市劳动就业和社会保障的政策法规，制订全区劳动和社会保障事业中短期规划和年度计划，管理劳动和社会保障的统计和信息工作。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统筹管理全区劳动力资源开发利用和就业工作。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贯彻实施职业分类，职业技能标准:建立职业资格证书制度，劳动预备制度，就业准入制度;组织指导企业在岗职工技能培训、下岗失业人员再就业培训、城乡新增劳动力、失地农民和农村剩余劳动力的就业培训:开展职业技能鉴定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组织实施全区社会保障制度的建立，综合管理全区养老、失业、工伤、医疗、生育、被征地农民社保补贴、城乡居民养老保险、城镇居民医保工作。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依法实施企业劳动关系调整、集体合同签订、劳动合同鉴证工作。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督导企业开展工资集体协商:贯彻执行企业职工工作时间、休息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休假、探亲假及职工福利制度和女工、未成年工特殊劳动保护政策。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</w:rPr>
        <w:t>依法承办辖区劳动争议案件，指导企业劳动争议调解，组织开展劳动争议调解工作。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（三）部门财务情况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1. 资产负债及净资产情况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桃花源旅游管理保障中心为区组织人事科二级机构，所需</w:t>
      </w:r>
      <w:r>
        <w:rPr>
          <w:rFonts w:hint="eastAsia" w:ascii="仿宋_GB2312" w:hAnsi="仿宋_GB2312" w:eastAsia="仿宋_GB2312" w:cs="仿宋_GB2312"/>
          <w:sz w:val="32"/>
          <w:szCs w:val="32"/>
        </w:rPr>
        <w:t>资产负债及净资产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报表由桃花源旅游管理区机构财务室提供。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00" w:firstLineChars="200"/>
        <w:rPr>
          <w:sz w:val="30"/>
          <w:szCs w:val="30"/>
          <w:highlight w:val="none"/>
        </w:rPr>
      </w:pPr>
      <w:r>
        <w:rPr>
          <w:sz w:val="30"/>
          <w:szCs w:val="30"/>
          <w:highlight w:val="none"/>
        </w:rPr>
        <w:t>2. 部门整体收支情况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桃花源旅游管理保障中心为区组织人事科二级机构。</w:t>
      </w:r>
      <w:r>
        <w:rPr>
          <w:rFonts w:hint="eastAsia" w:ascii="仿宋_GB2312" w:hAnsi="仿宋_GB2312" w:eastAsia="仿宋_GB2312" w:cs="仿宋_GB2312"/>
          <w:sz w:val="32"/>
          <w:szCs w:val="32"/>
        </w:rPr>
        <w:t>2021年部门年初预算收入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403.41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万元，年内调整预算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189.28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万元，决算收入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171.48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万元，其中：一般公共预算拨款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214.1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万元，纳入专户管理的非税收入拨款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万元，其他资金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万元。上年结转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1.87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万元，其中：一般公共预算拨款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万元，纳入专户管理的非税收入拨款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万元。全年可执行预算合计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405.28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万元，其中：一般公共预算拨款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313.41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万元，纳入专户管理的非税收入拨款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万元，其他资金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桃花源旅游管理保障中心为区组织人事科二级机构。</w:t>
      </w:r>
      <w:r>
        <w:rPr>
          <w:rFonts w:hint="eastAsia" w:ascii="仿宋_GB2312" w:hAnsi="仿宋_GB2312" w:eastAsia="仿宋_GB2312" w:cs="仿宋_GB2312"/>
          <w:sz w:val="32"/>
          <w:szCs w:val="32"/>
        </w:rPr>
        <w:t>2021年部门年初预算支出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403.41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165.41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万元。部门决算支出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171.48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万元，其中：基本支出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42.75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万元，项目支出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128.73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年末结转结余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44.51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万元，均为项目支出结转资金。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eastAsia="楷体_GB2312"/>
          <w:bCs/>
          <w:sz w:val="32"/>
          <w:szCs w:val="32"/>
          <w:highlight w:val="none"/>
        </w:rPr>
      </w:pPr>
      <w:r>
        <w:rPr>
          <w:rFonts w:eastAsia="楷体_GB2312"/>
          <w:bCs/>
          <w:sz w:val="32"/>
          <w:szCs w:val="32"/>
          <w:highlight w:val="none"/>
        </w:rPr>
        <w:t>（四）部门绩效目标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1. 部门绩效总目标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确保全区劳动力就业总体稳定，完成全年城乡居民养老保险征缴工作，保障无拖欠农民工工资情况。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2. 部门2021年度绩效目标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（1）产出指标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①数量指标。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新增城镇就业目标任务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300人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其中失业人员再就业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80人，困难人员再就业20人；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农村劳动力转移就业目标任务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230人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职业技能培训目标任务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350人；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困难群体城乡居民基本养老保险参保率90%；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>劳动保障监察举报投诉案件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结案率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>，拖欠农民工工资举报投诉案件结案率</w:t>
      </w:r>
      <w:r>
        <w:rPr>
          <w:rFonts w:hint="eastAsia" w:ascii="仿宋_GB2312" w:hAnsi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shd w:val="clear" w:color="auto" w:fill="auto"/>
          <w:lang w:val="en-US" w:eastAsia="zh-CN"/>
        </w:rPr>
        <w:t>%，农民工权益服务保障动态监测覆100%。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②质量指标。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新增城镇就业完成率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103%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其中失业人员再就业完成率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困难人员再就业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农村劳动力转移就业完成完成率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104%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；职业技能培训完成率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困难群体城乡居民基本养老保险参保率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95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%；劳动保障监察举报投诉案件结案率100%；拖欠农民工工资举报投诉案件结案结案率100%；农民工权益服务保障动态监测覆率100%；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③时效指标。任务完成及时率100%。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④成本指标。成本发生规范合理率100%。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（2）效益指标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①积极开发公益性岗位，解决失业人员、零就业家庭实现就业。就近就业提供了更多机会和岗位，我们积极宣传相关就业政策及有关岗位信息，为更多的求职者提供了就业机会。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发挥了培训工作积极作用，有效提高了劳动者技能，促进城乡劳动力就业。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78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lightGray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社保：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做好城乡居民养老保险参保缴费工作，加强政策宣传，提高群众对政策的理解，早参保、多缴费、不断保，实现应保尽保。进一步加强养老金风险防控能力，严格执行养老金待遇领取人员死亡零报告制度，认真宣传被征地农民社会保障实施办法，做好被征地农民参保相关工作；认真审核待遇领取人员资格确保基金安全运行，做到待遇冒领为零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lightGray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③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监察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坚决贯彻执行《劳动法》《劳动合同法》《保障农民工工资支付条例》等劳动保障法律法规，加强对用人单位的日常监督管理，加强对用人单位及劳动者相关法律法规的宣传，全力维护用人单位与劳动者的合法权益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④满意度。社会公众满意度90%以上。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二、一般公共预算支出情况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桃花源旅游管理保障中心为区组织人事科二级机构。2021年度一般公共预算财政拨款年初结转和结余1.87万元，本年收入214.13万元，本年支出171.49万元，年末结转和结余44.51万元。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（一）</w:t>
      </w:r>
      <w:r>
        <w:rPr>
          <w:rFonts w:eastAsia="楷体_GB2312"/>
          <w:bCs/>
          <w:sz w:val="32"/>
          <w:szCs w:val="32"/>
        </w:rPr>
        <w:t>基本支出情况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桃花源旅游管理保障中心为区组织人事科二级机构。2021年度一般公共预算财政拨款基本支出年初结转和结余0万元，本年收入42.75万元，本年支出42.75万元，年末结转和结余0万元。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（二）项目支出情况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桃花源旅游管理保障中心为区组织人事科二级机构。2021年度一般公共预算财政拨款项目支出年初结转和结余0，本年收入128.73元，本年支出128.73万元，年末结转和结余0万元。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三、政府性基金预算支出情况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/>
        <w:jc w:val="lef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 w:eastAsia="黑体"/>
          <w:sz w:val="32"/>
          <w:szCs w:val="32"/>
        </w:rPr>
        <w:t xml:space="preserve">    </w:t>
      </w:r>
      <w:r>
        <w:rPr>
          <w:rFonts w:ascii="Times New Roman" w:hAnsi="Times New Roman"/>
          <w:sz w:val="30"/>
          <w:szCs w:val="30"/>
        </w:rPr>
        <w:t>无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国有资本经营预算支出情况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0" w:firstLineChars="0"/>
        <w:jc w:val="lef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 w:eastAsia="黑体"/>
          <w:sz w:val="32"/>
          <w:szCs w:val="32"/>
        </w:rPr>
        <w:t xml:space="preserve">        </w:t>
      </w:r>
      <w:r>
        <w:rPr>
          <w:rFonts w:ascii="Times New Roman" w:hAnsi="Times New Roman"/>
          <w:sz w:val="30"/>
          <w:szCs w:val="30"/>
        </w:rPr>
        <w:t>无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社会保险基金预算支出情况</w:t>
      </w: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left="560" w:leftChars="200" w:firstLine="0" w:firstLineChars="0"/>
        <w:jc w:val="lef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 w:eastAsia="黑体"/>
          <w:sz w:val="32"/>
          <w:szCs w:val="32"/>
        </w:rPr>
        <w:t xml:space="preserve">     </w:t>
      </w:r>
      <w:r>
        <w:rPr>
          <w:rFonts w:ascii="Times New Roman" w:hAnsi="Times New Roman"/>
          <w:sz w:val="30"/>
          <w:szCs w:val="30"/>
        </w:rPr>
        <w:t>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5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六、部门整体支出绩效情况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（一）部门产出指标完成情况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1.数量指标。完成新增城镇就业目标任务308人。其中失业人员再就业80人，困难人员再就业20人；完成农村劳动力转移就业目标任务239人。完成职业技能培训目标任务350人；</w:t>
      </w:r>
      <w:r>
        <w:rPr>
          <w:rFonts w:hint="eastAsia"/>
          <w:sz w:val="30"/>
          <w:szCs w:val="30"/>
          <w:highlight w:val="none"/>
          <w:lang w:val="en-US" w:eastAsia="zh-CN"/>
        </w:rPr>
        <w:t>困难群体城乡居民基本养老保险参保率90%；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劳动保障监察举报投诉案件结案率100%；拖欠农民工工资举报投诉案件结案率100%；农民工权益服务保障动态监测覆率100%：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default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2.质量指标。新增城镇就业完成率103%。其中失业人员再就业完成率100%，困难人员再就业完成率100%；农村劳动力转移就业完成率104%。职业技能培训完成率100%；</w:t>
      </w:r>
      <w:r>
        <w:rPr>
          <w:rFonts w:hint="eastAsia"/>
          <w:sz w:val="30"/>
          <w:szCs w:val="30"/>
          <w:highlight w:val="none"/>
          <w:lang w:val="en-US" w:eastAsia="zh-CN"/>
        </w:rPr>
        <w:t>困难群体城乡居民基本养老保险参保率90%；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劳动保障监察举报投诉案件结案率100%;拖欠农民工工资举报投诉案件结案结案率100%;农民工权益服务保障动态监测覆率100%。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sz w:val="32"/>
          <w:szCs w:val="32"/>
        </w:rPr>
      </w:pPr>
      <w:r>
        <w:rPr>
          <w:sz w:val="32"/>
          <w:szCs w:val="32"/>
        </w:rPr>
        <w:t>3.时效指标。</w:t>
      </w:r>
      <w:r>
        <w:rPr>
          <w:rFonts w:hint="eastAsia"/>
          <w:sz w:val="32"/>
          <w:szCs w:val="32"/>
        </w:rPr>
        <w:t>任务完成及时率100%</w:t>
      </w:r>
      <w:r>
        <w:rPr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</w:pPr>
      <w:r>
        <w:rPr>
          <w:sz w:val="32"/>
          <w:szCs w:val="32"/>
        </w:rPr>
        <w:t>4.成本指标。成本发生规范合理率100%。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sz w:val="30"/>
          <w:szCs w:val="30"/>
        </w:rPr>
      </w:pPr>
      <w:r>
        <w:rPr>
          <w:rFonts w:eastAsia="楷体_GB2312"/>
          <w:bCs/>
          <w:sz w:val="32"/>
          <w:szCs w:val="32"/>
        </w:rPr>
        <w:t>（二）部门效益指标完成情况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①积极开发公益性岗位，解决失业人员、零就业家庭实现就业。就近就业提供了更多机会和岗位，我们积极宣传相关就业政策及有关岗位信息，为更多的求职者提供了就业机会。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②发挥了培训工作积极作用，有效提高了劳动者技能，促进城乡劳动力就业。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③满意度。社会公众满意度95%。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七、存在的问题及原因分析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（一）</w:t>
      </w:r>
      <w:r>
        <w:rPr>
          <w:rFonts w:eastAsia="楷体_GB2312"/>
          <w:bCs/>
          <w:sz w:val="32"/>
          <w:szCs w:val="32"/>
        </w:rPr>
        <w:t>存在的问题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sz w:val="32"/>
          <w:szCs w:val="32"/>
          <w:lang w:bidi="ar"/>
        </w:rPr>
      </w:pPr>
      <w:r>
        <w:rPr>
          <w:rFonts w:hint="eastAsia"/>
          <w:sz w:val="32"/>
          <w:szCs w:val="32"/>
          <w:lang w:eastAsia="zh-CN" w:bidi="ar"/>
        </w:rPr>
        <w:t>单位</w:t>
      </w:r>
      <w:r>
        <w:rPr>
          <w:sz w:val="32"/>
          <w:szCs w:val="32"/>
          <w:lang w:bidi="ar"/>
        </w:rPr>
        <w:t>制度建设欠完善</w:t>
      </w:r>
      <w:r>
        <w:rPr>
          <w:rFonts w:hint="eastAsia"/>
          <w:sz w:val="32"/>
          <w:szCs w:val="32"/>
          <w:lang w:eastAsia="zh-CN" w:bidi="ar"/>
        </w:rPr>
        <w:t>，</w:t>
      </w:r>
      <w:r>
        <w:rPr>
          <w:sz w:val="32"/>
          <w:szCs w:val="32"/>
          <w:lang w:bidi="ar"/>
        </w:rPr>
        <w:t>单位</w:t>
      </w:r>
      <w:r>
        <w:rPr>
          <w:rFonts w:hint="eastAsia"/>
          <w:sz w:val="32"/>
          <w:szCs w:val="32"/>
          <w:lang w:bidi="ar"/>
        </w:rPr>
        <w:t>部分项目资金未制定</w:t>
      </w:r>
      <w:r>
        <w:rPr>
          <w:sz w:val="32"/>
          <w:szCs w:val="32"/>
          <w:lang w:bidi="ar"/>
        </w:rPr>
        <w:t>专项项目管理制度。</w:t>
      </w:r>
    </w:p>
    <w:p>
      <w:pPr>
        <w:pStyle w:val="2"/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eastAsia="楷体_GB2312"/>
          <w:bCs/>
          <w:szCs w:val="32"/>
        </w:rPr>
      </w:pPr>
      <w:r>
        <w:rPr>
          <w:rFonts w:hint="eastAsia" w:eastAsia="楷体_GB2312"/>
          <w:bCs/>
          <w:szCs w:val="32"/>
        </w:rPr>
        <w:t>原因分析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eastAsia="仿宋_GB2312"/>
          <w:szCs w:val="32"/>
          <w:lang w:bidi="ar"/>
        </w:rPr>
      </w:pPr>
      <w:r>
        <w:rPr>
          <w:rFonts w:eastAsia="仿宋_GB2312"/>
          <w:szCs w:val="32"/>
          <w:lang w:bidi="ar"/>
        </w:rPr>
        <w:t>与业务部门衔接度不高，未联合相关部门制定项目管理制度。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八、下一步改进措施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（一）加强预算管理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我单位在来年编制预算时，加强与财政部门的沟通力度，科学、完整的编制单位预算。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（二）</w:t>
      </w:r>
      <w:r>
        <w:rPr>
          <w:rFonts w:eastAsia="楷体_GB2312"/>
          <w:bCs/>
          <w:sz w:val="32"/>
          <w:szCs w:val="32"/>
        </w:rPr>
        <w:t>完整申报绩效目标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来年单位将根据当年工作计划科学、完整的申报绩效目标。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（三）</w:t>
      </w:r>
      <w:r>
        <w:rPr>
          <w:rFonts w:eastAsia="楷体_GB2312"/>
          <w:bCs/>
          <w:sz w:val="32"/>
          <w:szCs w:val="32"/>
        </w:rPr>
        <w:t>加强制度建设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我单位将联合相关业务科室制定专门的专项项目管理制度，为项目管理提供制度依据，提高项目效益。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5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九、部门整体支出绩效自评结果拟应用和公开情况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0" w:firstLineChars="200"/>
        <w:rPr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根据市财政相关部门统一部署，我单位2021年部门整体支出绩效自评情况将在单位门户网站公开，接受社会监督。对绩效自评工作中发现的问题及时整改，解决好绩效评价管理中存在的问题，提高工作效能。根据部门整体支出绩效评价指标评分标准，2021年我单位部门整体绩效评价自评分为98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5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十、其他需要说明的情况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auto"/>
          <w:spacing w:val="0"/>
          <w:w w:val="100"/>
          <w:kern w:val="2"/>
          <w:sz w:val="32"/>
          <w:szCs w:val="32"/>
          <w:lang w:val="en-US" w:eastAsia="zh-CN" w:bidi="ar-SA"/>
        </w:rPr>
        <w:t>桃花源旅游管理保障中心为区组织人事科二级机构，所需资产负债及净资产报表由桃花源旅游管理区机构财务室提供。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left"/>
        <w:rPr>
          <w:sz w:val="30"/>
          <w:szCs w:val="3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5"/>
        <w:jc w:val="left"/>
        <w:rPr>
          <w:sz w:val="30"/>
          <w:szCs w:val="3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5"/>
        <w:jc w:val="left"/>
        <w:rPr>
          <w:sz w:val="30"/>
          <w:szCs w:val="3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5"/>
        <w:jc w:val="left"/>
        <w:rPr>
          <w:sz w:val="30"/>
          <w:szCs w:val="30"/>
        </w:rPr>
      </w:pPr>
      <w:r>
        <w:rPr>
          <w:sz w:val="30"/>
          <w:szCs w:val="30"/>
        </w:rPr>
        <w:t>附件：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5"/>
        <w:jc w:val="left"/>
        <w:rPr>
          <w:sz w:val="30"/>
          <w:szCs w:val="30"/>
        </w:rPr>
      </w:pPr>
      <w:r>
        <w:rPr>
          <w:sz w:val="30"/>
          <w:szCs w:val="30"/>
        </w:rPr>
        <w:t>1.部门整体支出绩效评价基础数据表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5"/>
        <w:jc w:val="left"/>
        <w:rPr>
          <w:sz w:val="30"/>
          <w:szCs w:val="30"/>
        </w:rPr>
      </w:pPr>
      <w:r>
        <w:rPr>
          <w:sz w:val="30"/>
          <w:szCs w:val="30"/>
        </w:rPr>
        <w:t>2.部门整体支出绩效自评表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645"/>
        <w:jc w:val="left"/>
        <w:rPr>
          <w:sz w:val="30"/>
          <w:szCs w:val="30"/>
        </w:rPr>
      </w:pPr>
      <w:r>
        <w:rPr>
          <w:sz w:val="30"/>
          <w:szCs w:val="30"/>
        </w:rPr>
        <w:t>3.项目支出绩效自评表（一个项目支出一张表）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rPr>
          <w:rFonts w:eastAsia="仿宋_GB2312"/>
          <w:sz w:val="30"/>
          <w:szCs w:val="3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桃花源管理区劳动保障中心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ind w:firstLine="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2022年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rPr>
          <w:sz w:val="30"/>
          <w:szCs w:val="30"/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024EFA"/>
    <w:multiLevelType w:val="singleLevel"/>
    <w:tmpl w:val="81024EF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382DD9B"/>
    <w:multiLevelType w:val="singleLevel"/>
    <w:tmpl w:val="D382DD9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E77E36D8"/>
    <w:multiLevelType w:val="singleLevel"/>
    <w:tmpl w:val="E77E36D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lNmI4Y2FkM2MxMzg1ZGQwOWFhNGZlMzhkNjg0ZGMifQ=="/>
  </w:docVars>
  <w:rsids>
    <w:rsidRoot w:val="D7F5C6E8"/>
    <w:rsid w:val="005E0FC8"/>
    <w:rsid w:val="0067612B"/>
    <w:rsid w:val="00D8462A"/>
    <w:rsid w:val="03902F0E"/>
    <w:rsid w:val="06C905A4"/>
    <w:rsid w:val="0B5404DC"/>
    <w:rsid w:val="0D7F25F5"/>
    <w:rsid w:val="0DD90D3A"/>
    <w:rsid w:val="0F2E44EE"/>
    <w:rsid w:val="11D62B91"/>
    <w:rsid w:val="12744374"/>
    <w:rsid w:val="1448011F"/>
    <w:rsid w:val="160B3B2B"/>
    <w:rsid w:val="1BB256B8"/>
    <w:rsid w:val="1D8A7671"/>
    <w:rsid w:val="1EF714FC"/>
    <w:rsid w:val="1EFD53CA"/>
    <w:rsid w:val="22DD2D2C"/>
    <w:rsid w:val="235C1499"/>
    <w:rsid w:val="261F54BF"/>
    <w:rsid w:val="27703055"/>
    <w:rsid w:val="28AC4F80"/>
    <w:rsid w:val="294F571D"/>
    <w:rsid w:val="2A212BD9"/>
    <w:rsid w:val="2D7F63B0"/>
    <w:rsid w:val="321E2D8E"/>
    <w:rsid w:val="3434652B"/>
    <w:rsid w:val="35973B40"/>
    <w:rsid w:val="37E58B0E"/>
    <w:rsid w:val="38104D2C"/>
    <w:rsid w:val="3A7B64B9"/>
    <w:rsid w:val="3ABE1FBB"/>
    <w:rsid w:val="3DDA31FF"/>
    <w:rsid w:val="3F441C9B"/>
    <w:rsid w:val="3F447398"/>
    <w:rsid w:val="3FFD445E"/>
    <w:rsid w:val="40B756E2"/>
    <w:rsid w:val="434863B8"/>
    <w:rsid w:val="44160DFD"/>
    <w:rsid w:val="44E46438"/>
    <w:rsid w:val="46144DD7"/>
    <w:rsid w:val="47AC461A"/>
    <w:rsid w:val="4A2762B8"/>
    <w:rsid w:val="4D890573"/>
    <w:rsid w:val="51B57141"/>
    <w:rsid w:val="53C6520D"/>
    <w:rsid w:val="57BDA83F"/>
    <w:rsid w:val="5FF949BA"/>
    <w:rsid w:val="62391B1E"/>
    <w:rsid w:val="62825182"/>
    <w:rsid w:val="63792AA8"/>
    <w:rsid w:val="65BA3C92"/>
    <w:rsid w:val="666E5614"/>
    <w:rsid w:val="66BF2B8F"/>
    <w:rsid w:val="677FA283"/>
    <w:rsid w:val="6B07531E"/>
    <w:rsid w:val="6B6B122F"/>
    <w:rsid w:val="6C3B0462"/>
    <w:rsid w:val="6CB93DC4"/>
    <w:rsid w:val="6FD150C3"/>
    <w:rsid w:val="6FFB3938"/>
    <w:rsid w:val="732B3221"/>
    <w:rsid w:val="733D355C"/>
    <w:rsid w:val="73BB10EE"/>
    <w:rsid w:val="73EFEEE1"/>
    <w:rsid w:val="73FF14E9"/>
    <w:rsid w:val="75EFACF8"/>
    <w:rsid w:val="766E0C8E"/>
    <w:rsid w:val="76871C7E"/>
    <w:rsid w:val="76FFF031"/>
    <w:rsid w:val="77DFCB2B"/>
    <w:rsid w:val="77FE1458"/>
    <w:rsid w:val="781A4B0A"/>
    <w:rsid w:val="79EF4386"/>
    <w:rsid w:val="79EFB67C"/>
    <w:rsid w:val="7B9FD535"/>
    <w:rsid w:val="7CFF7E7A"/>
    <w:rsid w:val="7EC33A42"/>
    <w:rsid w:val="7EFF463A"/>
    <w:rsid w:val="7F661677"/>
    <w:rsid w:val="7FDB96EE"/>
    <w:rsid w:val="7FF883F1"/>
    <w:rsid w:val="7FFBAC53"/>
    <w:rsid w:val="AFE7C9D5"/>
    <w:rsid w:val="B3EBCEAB"/>
    <w:rsid w:val="BADC89D7"/>
    <w:rsid w:val="BB8A37A5"/>
    <w:rsid w:val="BEFBB108"/>
    <w:rsid w:val="BEFFD95C"/>
    <w:rsid w:val="C7BDD227"/>
    <w:rsid w:val="CFBFD52F"/>
    <w:rsid w:val="D77F75A2"/>
    <w:rsid w:val="D7F5C6E8"/>
    <w:rsid w:val="E7CB99EC"/>
    <w:rsid w:val="EA7DE20A"/>
    <w:rsid w:val="ECDFDB4D"/>
    <w:rsid w:val="F79133C9"/>
    <w:rsid w:val="F7BBB70C"/>
    <w:rsid w:val="FE6F07B6"/>
    <w:rsid w:val="FFAD7386"/>
    <w:rsid w:val="FFC33333"/>
    <w:rsid w:val="FFEF4B48"/>
    <w:rsid w:val="FFFB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8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  <w:textAlignment w:val="baseline"/>
    </w:pPr>
    <w:rPr>
      <w:rFonts w:eastAsia="宋体"/>
      <w:sz w:val="32"/>
      <w:szCs w:val="24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ascii="微软雅黑" w:hAnsi="微软雅黑" w:eastAsia="微软雅黑" w:cs="微软雅黑"/>
      <w:color w:val="333333"/>
      <w:kern w:val="0"/>
      <w:sz w:val="21"/>
      <w:szCs w:val="21"/>
      <w:lang w:val="en-US" w:eastAsia="zh-CN" w:bidi="ar"/>
    </w:rPr>
  </w:style>
  <w:style w:type="paragraph" w:styleId="8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9">
    <w:name w:val="页眉 Char"/>
    <w:basedOn w:val="7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3923</Words>
  <Characters>616</Characters>
  <Lines>5</Lines>
  <Paragraphs>9</Paragraphs>
  <TotalTime>4</TotalTime>
  <ScaleCrop>false</ScaleCrop>
  <LinksUpToDate>false</LinksUpToDate>
  <CharactersWithSpaces>4530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2022-08-30T10:28:00Z</dcterms:created>
  <dc:creator>greatwall</dc:creator>
  <cp:lastModifiedBy>田马马马马轩</cp:lastModifiedBy>
  <cp:lastPrinted>2022-07-05T10:01:00Z</cp:lastPrinted>
  <dcterms:modified xsi:type="dcterms:W3CDTF">2022-11-22T01:18:36Z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744831E86A9340A3AA630B806392470C</vt:lpwstr>
  </property>
</Properties>
</file>