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55" w:lineRule="auto"/>
        <w:rPr>
          <w:rFonts w:ascii="Arial"/>
          <w:sz w:val="21"/>
        </w:rPr>
      </w:pPr>
      <w:bookmarkStart w:id="0" w:name="_GoBack"/>
      <w:bookmarkEnd w:id="0"/>
    </w:p>
    <w:p>
      <w:pPr>
        <w:spacing w:line="255" w:lineRule="auto"/>
        <w:rPr>
          <w:rFonts w:hint="eastAsia" w:ascii="Arial" w:eastAsia="宋体"/>
          <w:sz w:val="21"/>
          <w:lang w:val="en-US" w:eastAsia="zh-CN"/>
        </w:rPr>
      </w:pPr>
      <w:r>
        <w:rPr>
          <w:rFonts w:hint="eastAsia" w:eastAsia="宋体"/>
          <w:sz w:val="21"/>
          <w:lang w:val="en-US" w:eastAsia="zh-CN"/>
        </w:rPr>
        <w:t xml:space="preserve"> </w:t>
      </w:r>
    </w:p>
    <w:p>
      <w:pPr>
        <w:spacing w:line="255" w:lineRule="auto"/>
        <w:rPr>
          <w:rFonts w:ascii="Arial"/>
          <w:sz w:val="21"/>
        </w:rPr>
      </w:pPr>
    </w:p>
    <w:p>
      <w:pPr>
        <w:spacing w:line="255" w:lineRule="auto"/>
        <w:rPr>
          <w:rFonts w:ascii="Arial"/>
          <w:sz w:val="21"/>
        </w:rPr>
      </w:pPr>
    </w:p>
    <w:p>
      <w:pPr>
        <w:spacing w:line="256" w:lineRule="auto"/>
        <w:rPr>
          <w:rFonts w:ascii="Arial"/>
          <w:sz w:val="21"/>
        </w:rPr>
      </w:pPr>
    </w:p>
    <w:p>
      <w:pPr>
        <w:spacing w:line="256" w:lineRule="auto"/>
        <w:rPr>
          <w:rFonts w:ascii="Arial"/>
          <w:sz w:val="21"/>
        </w:rPr>
      </w:pPr>
    </w:p>
    <w:p>
      <w:pPr>
        <w:keepNext w:val="0"/>
        <w:keepLines w:val="0"/>
        <w:pageBreakBefore w:val="0"/>
        <w:widowControl w:val="0"/>
        <w:kinsoku/>
        <w:wordWrap/>
        <w:overflowPunct/>
        <w:topLinePunct w:val="0"/>
        <w:autoSpaceDE/>
        <w:autoSpaceDN/>
        <w:bidi w:val="0"/>
        <w:adjustRightInd/>
        <w:snapToGrid/>
        <w:spacing w:line="578" w:lineRule="exact"/>
        <w:ind w:firstLine="0" w:firstLineChars="0"/>
        <w:jc w:val="center"/>
        <w:textAlignment w:val="auto"/>
        <w:rPr>
          <w:rFonts w:hint="eastAsia" w:ascii="方正小标宋简体" w:hAnsi="方正小标宋简体" w:eastAsia="方正小标宋简体" w:cs="方正小标宋简体"/>
          <w:b w:val="0"/>
          <w:bCs w:val="0"/>
          <w:snapToGrid/>
          <w:kern w:val="2"/>
          <w:sz w:val="44"/>
          <w:szCs w:val="44"/>
          <w:lang w:val="en-US" w:eastAsia="zh-CN" w:bidi="ar-SA"/>
        </w:rPr>
      </w:pPr>
    </w:p>
    <w:p>
      <w:pPr>
        <w:keepNext w:val="0"/>
        <w:keepLines w:val="0"/>
        <w:pageBreakBefore w:val="0"/>
        <w:widowControl w:val="0"/>
        <w:kinsoku/>
        <w:wordWrap/>
        <w:overflowPunct/>
        <w:topLinePunct w:val="0"/>
        <w:autoSpaceDE/>
        <w:autoSpaceDN/>
        <w:bidi w:val="0"/>
        <w:adjustRightInd/>
        <w:snapToGrid/>
        <w:spacing w:line="578" w:lineRule="exact"/>
        <w:ind w:firstLine="0" w:firstLineChars="0"/>
        <w:jc w:val="center"/>
        <w:textAlignment w:val="auto"/>
        <w:rPr>
          <w:rFonts w:hint="eastAsia" w:ascii="方正小标宋简体" w:hAnsi="方正小标宋简体" w:eastAsia="方正小标宋简体" w:cs="方正小标宋简体"/>
          <w:b w:val="0"/>
          <w:bCs w:val="0"/>
          <w:snapToGrid/>
          <w:kern w:val="2"/>
          <w:sz w:val="44"/>
          <w:szCs w:val="44"/>
          <w:lang w:val="en-US" w:eastAsia="zh-CN" w:bidi="ar-SA"/>
        </w:rPr>
      </w:pPr>
      <w:r>
        <w:rPr>
          <w:rFonts w:hint="eastAsia" w:ascii="方正小标宋简体" w:hAnsi="方正小标宋简体" w:eastAsia="方正小标宋简体" w:cs="方正小标宋简体"/>
          <w:b w:val="0"/>
          <w:bCs w:val="0"/>
          <w:snapToGrid/>
          <w:kern w:val="2"/>
          <w:sz w:val="44"/>
          <w:szCs w:val="44"/>
          <w:lang w:val="en-US" w:eastAsia="zh-CN" w:bidi="ar-SA"/>
        </w:rPr>
        <w:t>2021年度常德市自然资源和规划局桃花源分局整体支出绩效自评报告</w:t>
      </w:r>
    </w:p>
    <w:p>
      <w:pPr>
        <w:spacing w:before="169" w:line="342" w:lineRule="auto"/>
        <w:ind w:left="526" w:right="259" w:hanging="520" w:hangingChars="100"/>
        <w:jc w:val="both"/>
        <w:rPr>
          <w:rFonts w:hint="default" w:ascii="宋体" w:hAnsi="宋体" w:eastAsia="宋体" w:cs="宋体"/>
          <w:sz w:val="52"/>
          <w:szCs w:val="52"/>
          <w:lang w:val="en-US" w:eastAsia="zh-CN"/>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before="97" w:line="364" w:lineRule="auto"/>
        <w:ind w:left="1836"/>
        <w:rPr>
          <w:rFonts w:hint="eastAsia" w:ascii="仿宋_GB2312" w:hAnsi="仿宋_GB2312" w:eastAsia="仿宋_GB2312" w:cs="仿宋_GB2312"/>
          <w:sz w:val="32"/>
          <w:szCs w:val="32"/>
        </w:rPr>
      </w:pPr>
      <w:r>
        <w:rPr>
          <w:rFonts w:hint="eastAsia" w:ascii="仿宋_GB2312" w:hAnsi="仿宋_GB2312" w:eastAsia="仿宋_GB2312" w:cs="仿宋_GB2312"/>
          <w:spacing w:val="-17"/>
          <w:sz w:val="32"/>
          <w:szCs w:val="32"/>
        </w:rPr>
        <w:t>单</w:t>
      </w:r>
      <w:r>
        <w:rPr>
          <w:rFonts w:hint="eastAsia" w:ascii="仿宋_GB2312" w:hAnsi="仿宋_GB2312" w:eastAsia="仿宋_GB2312" w:cs="仿宋_GB2312"/>
          <w:spacing w:val="-10"/>
          <w:sz w:val="32"/>
          <w:szCs w:val="32"/>
        </w:rPr>
        <w:t xml:space="preserve">位名称： </w:t>
      </w:r>
      <w:r>
        <w:rPr>
          <w:rFonts w:hint="eastAsia" w:ascii="仿宋_GB2312" w:hAnsi="仿宋_GB2312" w:eastAsia="仿宋_GB2312" w:cs="仿宋_GB2312"/>
          <w:spacing w:val="-10"/>
          <w:sz w:val="32"/>
          <w:szCs w:val="32"/>
          <w:u w:val="single" w:color="auto"/>
        </w:rPr>
        <w:t xml:space="preserve"> ( 盖 章 )</w:t>
      </w:r>
      <w:r>
        <w:rPr>
          <w:rFonts w:hint="eastAsia" w:ascii="仿宋_GB2312" w:hAnsi="仿宋_GB2312" w:eastAsia="仿宋_GB2312" w:cs="仿宋_GB2312"/>
          <w:sz w:val="32"/>
          <w:szCs w:val="32"/>
          <w:u w:val="single" w:color="auto"/>
        </w:rPr>
        <w:t xml:space="preserve">       </w:t>
      </w:r>
    </w:p>
    <w:p>
      <w:pPr>
        <w:spacing w:line="222" w:lineRule="auto"/>
        <w:ind w:left="3056"/>
        <w:rPr>
          <w:rFonts w:hint="eastAsia" w:ascii="仿宋_GB2312" w:hAnsi="仿宋_GB2312" w:eastAsia="仿宋_GB2312" w:cs="仿宋_GB2312"/>
          <w:sz w:val="32"/>
          <w:szCs w:val="32"/>
        </w:rPr>
      </w:pPr>
      <w:r>
        <w:rPr>
          <w:rFonts w:hint="eastAsia" w:ascii="仿宋_GB2312" w:hAnsi="仿宋_GB2312" w:eastAsia="仿宋_GB2312" w:cs="仿宋_GB2312"/>
          <w:spacing w:val="13"/>
          <w:sz w:val="32"/>
          <w:szCs w:val="32"/>
          <w:lang w:val="en-US" w:eastAsia="zh-CN"/>
        </w:rPr>
        <w:t>2022</w:t>
      </w:r>
      <w:r>
        <w:rPr>
          <w:rFonts w:hint="eastAsia" w:ascii="仿宋_GB2312" w:hAnsi="仿宋_GB2312" w:eastAsia="仿宋_GB2312" w:cs="仿宋_GB2312"/>
          <w:spacing w:val="13"/>
          <w:sz w:val="32"/>
          <w:szCs w:val="32"/>
        </w:rPr>
        <w:t>年</w:t>
      </w:r>
      <w:r>
        <w:rPr>
          <w:rFonts w:hint="eastAsia" w:ascii="仿宋_GB2312" w:hAnsi="仿宋_GB2312" w:eastAsia="仿宋_GB2312" w:cs="仿宋_GB2312"/>
          <w:spacing w:val="13"/>
          <w:sz w:val="32"/>
          <w:szCs w:val="32"/>
          <w:lang w:val="en-US" w:eastAsia="zh-CN"/>
        </w:rPr>
        <w:t>11</w:t>
      </w:r>
      <w:r>
        <w:rPr>
          <w:rFonts w:hint="eastAsia" w:ascii="仿宋_GB2312" w:hAnsi="仿宋_GB2312" w:eastAsia="仿宋_GB2312" w:cs="仿宋_GB2312"/>
          <w:spacing w:val="13"/>
          <w:sz w:val="32"/>
          <w:szCs w:val="32"/>
        </w:rPr>
        <w:t>月</w:t>
      </w:r>
      <w:r>
        <w:rPr>
          <w:rFonts w:hint="eastAsia" w:ascii="仿宋_GB2312" w:hAnsi="仿宋_GB2312" w:eastAsia="仿宋_GB2312" w:cs="仿宋_GB2312"/>
          <w:spacing w:val="13"/>
          <w:sz w:val="32"/>
          <w:szCs w:val="32"/>
          <w:lang w:val="en-US" w:eastAsia="zh-CN"/>
        </w:rPr>
        <w:t>15</w:t>
      </w:r>
      <w:r>
        <w:rPr>
          <w:rFonts w:hint="eastAsia" w:ascii="仿宋_GB2312" w:hAnsi="仿宋_GB2312" w:eastAsia="仿宋_GB2312" w:cs="仿宋_GB2312"/>
          <w:spacing w:val="11"/>
          <w:sz w:val="32"/>
          <w:szCs w:val="32"/>
        </w:rPr>
        <w:t>日</w:t>
      </w:r>
    </w:p>
    <w:p>
      <w:pPr>
        <w:spacing w:line="354" w:lineRule="auto"/>
        <w:rPr>
          <w:rFonts w:ascii="Arial"/>
          <w:sz w:val="21"/>
        </w:rPr>
      </w:pPr>
    </w:p>
    <w:p>
      <w:pPr>
        <w:sectPr>
          <w:footerReference r:id="rId5" w:type="default"/>
          <w:pgSz w:w="11900" w:h="16838"/>
          <w:pgMar w:top="1430" w:right="1785" w:bottom="400" w:left="1623" w:header="0" w:footer="0" w:gutter="0"/>
          <w:cols w:space="720" w:num="1"/>
        </w:sectPr>
      </w:pPr>
    </w:p>
    <w:p>
      <w:pPr>
        <w:keepNext w:val="0"/>
        <w:keepLines w:val="0"/>
        <w:pageBreakBefore w:val="0"/>
        <w:widowControl w:val="0"/>
        <w:kinsoku/>
        <w:wordWrap/>
        <w:overflowPunct/>
        <w:topLinePunct w:val="0"/>
        <w:autoSpaceDE/>
        <w:autoSpaceDN/>
        <w:bidi w:val="0"/>
        <w:adjustRightInd/>
        <w:snapToGrid/>
        <w:spacing w:line="578" w:lineRule="exact"/>
        <w:ind w:firstLine="0" w:firstLineChars="0"/>
        <w:jc w:val="center"/>
        <w:textAlignment w:val="auto"/>
        <w:rPr>
          <w:rFonts w:hint="eastAsia" w:ascii="方正小标宋简体" w:hAnsi="方正小标宋简体" w:eastAsia="方正小标宋简体" w:cs="方正小标宋简体"/>
          <w:b w:val="0"/>
          <w:bCs w:val="0"/>
          <w:snapToGrid/>
          <w:kern w:val="2"/>
          <w:sz w:val="44"/>
          <w:szCs w:val="44"/>
          <w:lang w:val="en-US" w:eastAsia="zh-CN" w:bidi="ar-SA"/>
        </w:rPr>
      </w:pPr>
      <w:r>
        <w:rPr>
          <w:rFonts w:hint="eastAsia" w:ascii="方正小标宋简体" w:hAnsi="方正小标宋简体" w:eastAsia="方正小标宋简体" w:cs="方正小标宋简体"/>
          <w:b w:val="0"/>
          <w:bCs w:val="0"/>
          <w:snapToGrid/>
          <w:kern w:val="2"/>
          <w:sz w:val="44"/>
          <w:szCs w:val="44"/>
          <w:lang w:val="en-US" w:eastAsia="zh-CN" w:bidi="ar-SA"/>
        </w:rPr>
        <w:t>2021年度常德市自然资源和规划局桃花源</w:t>
      </w:r>
    </w:p>
    <w:p>
      <w:pPr>
        <w:keepNext w:val="0"/>
        <w:keepLines w:val="0"/>
        <w:pageBreakBefore w:val="0"/>
        <w:widowControl w:val="0"/>
        <w:kinsoku/>
        <w:wordWrap/>
        <w:overflowPunct/>
        <w:topLinePunct w:val="0"/>
        <w:autoSpaceDE/>
        <w:autoSpaceDN/>
        <w:bidi w:val="0"/>
        <w:adjustRightInd/>
        <w:snapToGrid/>
        <w:spacing w:line="578" w:lineRule="exact"/>
        <w:ind w:firstLine="0" w:firstLineChars="0"/>
        <w:jc w:val="center"/>
        <w:textAlignment w:val="auto"/>
        <w:rPr>
          <w:rFonts w:hint="eastAsia" w:ascii="方正小标宋简体" w:hAnsi="方正小标宋简体" w:eastAsia="方正小标宋简体" w:cs="方正小标宋简体"/>
          <w:b w:val="0"/>
          <w:bCs w:val="0"/>
          <w:snapToGrid/>
          <w:kern w:val="2"/>
          <w:sz w:val="44"/>
          <w:szCs w:val="44"/>
          <w:lang w:val="en-US" w:eastAsia="zh-CN" w:bidi="ar-SA"/>
        </w:rPr>
      </w:pPr>
      <w:r>
        <w:rPr>
          <w:rFonts w:hint="eastAsia" w:ascii="方正小标宋简体" w:hAnsi="方正小标宋简体" w:eastAsia="方正小标宋简体" w:cs="方正小标宋简体"/>
          <w:b w:val="0"/>
          <w:bCs w:val="0"/>
          <w:snapToGrid/>
          <w:kern w:val="2"/>
          <w:sz w:val="44"/>
          <w:szCs w:val="44"/>
          <w:lang w:val="en-US" w:eastAsia="zh-CN" w:bidi="ar-SA"/>
        </w:rPr>
        <w:t>分局整体支出绩效自评报告</w:t>
      </w:r>
    </w:p>
    <w:p>
      <w:pPr>
        <w:keepNext w:val="0"/>
        <w:keepLines w:val="0"/>
        <w:pageBreakBefore w:val="0"/>
        <w:widowControl/>
        <w:kinsoku w:val="0"/>
        <w:wordWrap/>
        <w:overflowPunct/>
        <w:topLinePunct w:val="0"/>
        <w:autoSpaceDE w:val="0"/>
        <w:autoSpaceDN w:val="0"/>
        <w:bidi w:val="0"/>
        <w:adjustRightInd w:val="0"/>
        <w:snapToGrid w:val="0"/>
        <w:spacing w:line="578" w:lineRule="exact"/>
        <w:jc w:val="both"/>
        <w:textAlignment w:val="baseline"/>
        <w:rPr>
          <w:rFonts w:hint="eastAsia" w:ascii="方正小标宋简体" w:hAnsi="方正小标宋简体" w:eastAsia="方正小标宋简体" w:cs="方正小标宋简体"/>
          <w:spacing w:val="-1"/>
          <w:sz w:val="46"/>
          <w:szCs w:val="46"/>
          <w:lang w:val="en-US" w:eastAsia="zh-CN"/>
          <w14:textOutline w14:w="8356" w14:cap="flat" w14:cmpd="sng">
            <w14:solidFill>
              <w14:srgbClr w14:val="000000"/>
            </w14:solidFill>
            <w14:prstDash w14:val="solid"/>
            <w14:miter w14:val="0"/>
          </w14:textOutline>
        </w:rPr>
      </w:pP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一、部门(单位)基本情况</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eastAsia"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（一） 机构设置</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根据市编委办核定，市自然资源和规划局桃花源分局内设股室6个，所属事业单位1个。</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内设股室分别是综合股、国土空间用途管制股、所有者权益和权籍调查股、征地拆迁和执法监察股、国土空间规划股、资源保护和生态修复股。</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所属事业单位是桃花源风景名胜区不动产登记中心。</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8" w:lineRule="exact"/>
        <w:ind w:firstLine="640" w:firstLineChars="200"/>
        <w:jc w:val="both"/>
        <w:textAlignment w:val="baseline"/>
        <w:outlineLvl w:val="0"/>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我局只有本级，没有二级预算单位。</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eastAsia"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（二）人员情况</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仿宋_GB2312" w:eastAsia="仿宋_GB2312" w:cs="仿宋_GB2312"/>
          <w:snapToGrid/>
          <w:kern w:val="2"/>
          <w:sz w:val="32"/>
          <w:szCs w:val="32"/>
          <w:lang w:val="en-US" w:eastAsia="zh-CN" w:bidi="ar-SA"/>
        </w:rPr>
      </w:pPr>
      <w:r>
        <w:rPr>
          <w:rFonts w:hint="eastAsia" w:ascii="仿宋_GB2312" w:hAnsi="仿宋_GB2312" w:eastAsia="仿宋_GB2312" w:cs="仿宋_GB2312"/>
          <w:snapToGrid/>
          <w:kern w:val="2"/>
          <w:sz w:val="32"/>
          <w:szCs w:val="32"/>
          <w:lang w:val="en-US" w:eastAsia="zh-CN" w:bidi="ar-SA"/>
        </w:rPr>
        <w:t>根据市编委办核定，本部门2021年末编制人数15人，其中：事业编制14人，退休人员1人。</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default"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（三）单位主要职责</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常德市自然资源和规划局桃花源分局贯彻落实中央、省委、市委关于自然资源工作的方针政策和决策部署，全面落实常德桃花源旅游管理区党工委、市自然资源和规划局党组关于自然资源和规划工作的部署要求，在履职过程中坚持和加强党对自然资源和规划工作的集中统一领导。主要职</w:t>
      </w:r>
      <w:r>
        <w:rPr>
          <w:rFonts w:hint="eastAsia" w:ascii="仿宋_GB2312" w:hAnsi="微软雅黑" w:eastAsia="仿宋_GB2312"/>
          <w:color w:val="auto"/>
          <w:sz w:val="32"/>
          <w:szCs w:val="32"/>
          <w:lang w:eastAsia="zh-CN"/>
        </w:rPr>
        <w:t>责</w:t>
      </w:r>
      <w:r>
        <w:rPr>
          <w:rFonts w:hint="eastAsia" w:ascii="仿宋_GB2312" w:hAnsi="微软雅黑" w:eastAsia="仿宋_GB2312"/>
          <w:color w:val="auto"/>
          <w:sz w:val="32"/>
          <w:szCs w:val="32"/>
        </w:rPr>
        <w:t>是:</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lang w:val="en-US" w:eastAsia="zh-CN"/>
        </w:rPr>
        <w:t>1.</w:t>
      </w:r>
      <w:r>
        <w:rPr>
          <w:rFonts w:hint="eastAsia" w:ascii="仿宋_GB2312" w:hAnsi="微软雅黑" w:eastAsia="仿宋_GB2312"/>
          <w:color w:val="auto"/>
          <w:sz w:val="32"/>
          <w:szCs w:val="32"/>
        </w:rPr>
        <w:t>依法履行全民所有土地、矿产、森林、草地、湿地、水等自然资源资产所有者职责和所有国土空间用途管制职责。拟订自然资源和国土空间规划等相关规范性文件草案，依法组织实施和监督检查。</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2.负责自然资源调查监测评价。</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3.负责辖区内自然资源统一确权登记。</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4.负责自然资源资产有偿使用工作。</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5.负责自然资源的合理开发利用。</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6.负责落实空间规划体系并监督实施。</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7.负责统筹国土空间生态修复。</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8.负责实施最严格的耕地保护制度。</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9.负责全区地质、地灾、矿产管理工作。</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10.负责基础测绘和测绘行业管理。</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11.负责城乡规划实施管理。</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12.承办需报国务院和省政府、市政府审批的各类建设项目农用地转用和土地征收的审核、报批工作；参与建设项目用地的前期论证工作；协调大中型建设项目征地事宜；组织发布各类建设用地信息；检查各类建设项目土地利用实施情况。</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13.根据市委授权，对经开区落实市委、市政府关于自然资源和国土空间规划的重大决策部署及法律法规执行情况进行监督检查。查处自然资源开发利用和国土空间规划及测绘重大违法案件，指导有关行政执法工作。</w:t>
      </w:r>
    </w:p>
    <w:p>
      <w:pPr>
        <w:pStyle w:val="2"/>
        <w:keepNext w:val="0"/>
        <w:keepLines w:val="0"/>
        <w:pageBreakBefore w:val="0"/>
        <w:widowControl/>
        <w:shd w:val="clear" w:color="auto" w:fill="FFFFFF"/>
        <w:kinsoku w:val="0"/>
        <w:wordWrap/>
        <w:overflowPunct/>
        <w:topLinePunct w:val="0"/>
        <w:autoSpaceDE w:val="0"/>
        <w:autoSpaceDN w:val="0"/>
        <w:bidi w:val="0"/>
        <w:adjustRightInd w:val="0"/>
        <w:snapToGrid w:val="0"/>
        <w:spacing w:before="0" w:beforeAutospacing="0" w:after="0" w:afterAutospacing="0" w:line="578" w:lineRule="exact"/>
        <w:ind w:firstLine="640" w:firstLineChars="200"/>
        <w:textAlignment w:val="baseline"/>
        <w:rPr>
          <w:rFonts w:hint="eastAsia" w:ascii="仿宋_GB2312" w:hAnsi="微软雅黑" w:eastAsia="仿宋_GB2312"/>
          <w:color w:val="auto"/>
          <w:sz w:val="32"/>
          <w:szCs w:val="32"/>
        </w:rPr>
      </w:pPr>
      <w:r>
        <w:rPr>
          <w:rFonts w:hint="eastAsia" w:ascii="仿宋_GB2312" w:hAnsi="微软雅黑" w:eastAsia="仿宋_GB2312"/>
          <w:color w:val="auto"/>
          <w:sz w:val="32"/>
          <w:szCs w:val="32"/>
        </w:rPr>
        <w:t>14.完成市自然资源和规划局和桃花源旅游管理区工委、管委交办的其他事项。</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二、一般公共预算支出情况</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eastAsia"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（一）基本支出情况</w:t>
      </w:r>
    </w:p>
    <w:p>
      <w:pPr>
        <w:keepNext w:val="0"/>
        <w:keepLines w:val="0"/>
        <w:pageBreakBefore w:val="0"/>
        <w:wordWrap/>
        <w:overflowPunct/>
        <w:topLinePunct w:val="0"/>
        <w:bidi w:val="0"/>
        <w:snapToGrid w:val="0"/>
        <w:spacing w:line="578" w:lineRule="exact"/>
        <w:ind w:firstLine="640" w:firstLineChars="200"/>
        <w:rPr>
          <w:rFonts w:hint="default" w:ascii="仿宋_GB2312" w:hAnsi="仿宋" w:eastAsia="仿宋_GB2312"/>
          <w:color w:val="auto"/>
          <w:sz w:val="32"/>
          <w:szCs w:val="32"/>
          <w:lang w:val="en-US" w:eastAsia="zh-CN"/>
        </w:rPr>
      </w:pPr>
      <w:r>
        <w:rPr>
          <w:rFonts w:hint="default" w:ascii="仿宋_GB2312" w:hAnsi="仿宋" w:eastAsia="仿宋_GB2312"/>
          <w:color w:val="auto"/>
          <w:sz w:val="32"/>
          <w:szCs w:val="32"/>
          <w:lang w:val="en-US" w:eastAsia="zh-CN"/>
        </w:rPr>
        <w:t>2021年度基本支出年初结余</w:t>
      </w:r>
      <w:r>
        <w:rPr>
          <w:rFonts w:hint="eastAsia" w:ascii="仿宋_GB2312" w:hAnsi="仿宋" w:eastAsia="仿宋_GB2312"/>
          <w:color w:val="auto"/>
          <w:sz w:val="32"/>
          <w:szCs w:val="32"/>
          <w:lang w:val="en-US" w:eastAsia="zh-CN"/>
        </w:rPr>
        <w:t>236.45</w:t>
      </w:r>
      <w:r>
        <w:rPr>
          <w:rFonts w:hint="default" w:ascii="仿宋_GB2312" w:hAnsi="仿宋" w:eastAsia="仿宋_GB2312"/>
          <w:color w:val="auto"/>
          <w:sz w:val="32"/>
          <w:szCs w:val="32"/>
          <w:lang w:val="en-US" w:eastAsia="zh-CN"/>
        </w:rPr>
        <w:t>万元，年初基本支出预算指标下达数</w:t>
      </w:r>
      <w:r>
        <w:rPr>
          <w:rFonts w:hint="eastAsia" w:ascii="仿宋_GB2312" w:hAnsi="仿宋" w:eastAsia="仿宋_GB2312"/>
          <w:color w:val="auto"/>
          <w:sz w:val="32"/>
          <w:szCs w:val="32"/>
          <w:lang w:val="en-US" w:eastAsia="zh-CN"/>
        </w:rPr>
        <w:t>0</w:t>
      </w:r>
      <w:r>
        <w:rPr>
          <w:rFonts w:hint="default" w:ascii="仿宋_GB2312" w:hAnsi="仿宋" w:eastAsia="仿宋_GB2312"/>
          <w:color w:val="auto"/>
          <w:sz w:val="32"/>
          <w:szCs w:val="32"/>
          <w:lang w:val="en-US" w:eastAsia="zh-CN"/>
        </w:rPr>
        <w:t>万元，2021年度基本支出全年预算数为</w:t>
      </w:r>
      <w:r>
        <w:rPr>
          <w:rFonts w:hint="eastAsia" w:ascii="仿宋_GB2312" w:hAnsi="仿宋" w:eastAsia="仿宋_GB2312"/>
          <w:color w:val="auto"/>
          <w:sz w:val="32"/>
          <w:szCs w:val="32"/>
          <w:lang w:val="en-US" w:eastAsia="zh-CN"/>
        </w:rPr>
        <w:t>42.48</w:t>
      </w:r>
      <w:r>
        <w:rPr>
          <w:rFonts w:hint="default" w:ascii="仿宋_GB2312" w:hAnsi="仿宋" w:eastAsia="仿宋_GB2312"/>
          <w:color w:val="auto"/>
          <w:sz w:val="32"/>
          <w:szCs w:val="32"/>
          <w:lang w:val="en-US" w:eastAsia="zh-CN"/>
        </w:rPr>
        <w:t>万元。2021年决算金额为</w:t>
      </w:r>
      <w:r>
        <w:rPr>
          <w:rFonts w:hint="eastAsia" w:ascii="仿宋_GB2312" w:hAnsi="仿宋" w:eastAsia="仿宋_GB2312"/>
          <w:color w:val="auto"/>
          <w:sz w:val="32"/>
          <w:szCs w:val="32"/>
          <w:lang w:val="en-US" w:eastAsia="zh-CN"/>
        </w:rPr>
        <w:t>1002.69</w:t>
      </w:r>
      <w:r>
        <w:rPr>
          <w:rFonts w:hint="default" w:ascii="仿宋_GB2312" w:hAnsi="仿宋" w:eastAsia="仿宋_GB2312"/>
          <w:color w:val="auto"/>
          <w:sz w:val="32"/>
          <w:szCs w:val="32"/>
          <w:lang w:val="en-US" w:eastAsia="zh-CN"/>
        </w:rPr>
        <w:t>万元，结余</w:t>
      </w:r>
      <w:r>
        <w:rPr>
          <w:rFonts w:hint="eastAsia" w:ascii="仿宋_GB2312" w:hAnsi="仿宋" w:eastAsia="仿宋_GB2312"/>
          <w:color w:val="auto"/>
          <w:sz w:val="32"/>
          <w:szCs w:val="32"/>
          <w:lang w:val="en-US" w:eastAsia="zh-CN"/>
        </w:rPr>
        <w:t>185.63万元</w:t>
      </w:r>
      <w:r>
        <w:rPr>
          <w:rFonts w:hint="default" w:ascii="仿宋_GB2312" w:hAnsi="仿宋" w:eastAsia="仿宋_GB2312"/>
          <w:color w:val="auto"/>
          <w:sz w:val="32"/>
          <w:szCs w:val="32"/>
          <w:lang w:val="en-US" w:eastAsia="zh-CN"/>
        </w:rPr>
        <w:t>。人员经费全年预算金额</w:t>
      </w:r>
      <w:r>
        <w:rPr>
          <w:rFonts w:hint="eastAsia" w:ascii="仿宋_GB2312" w:hAnsi="仿宋" w:eastAsia="仿宋_GB2312"/>
          <w:color w:val="auto"/>
          <w:sz w:val="32"/>
          <w:szCs w:val="32"/>
          <w:lang w:val="en-US" w:eastAsia="zh-CN"/>
        </w:rPr>
        <w:t>38.88</w:t>
      </w:r>
      <w:r>
        <w:rPr>
          <w:rFonts w:hint="default" w:ascii="仿宋_GB2312" w:hAnsi="仿宋" w:eastAsia="仿宋_GB2312"/>
          <w:color w:val="auto"/>
          <w:sz w:val="32"/>
          <w:szCs w:val="32"/>
          <w:lang w:val="en-US" w:eastAsia="zh-CN"/>
        </w:rPr>
        <w:t xml:space="preserve">万元，决算金额 </w:t>
      </w:r>
      <w:r>
        <w:rPr>
          <w:rFonts w:hint="eastAsia" w:ascii="仿宋_GB2312" w:hAnsi="仿宋" w:eastAsia="仿宋_GB2312"/>
          <w:color w:val="auto"/>
          <w:sz w:val="32"/>
          <w:szCs w:val="32"/>
          <w:lang w:val="en-US" w:eastAsia="zh-CN"/>
        </w:rPr>
        <w:t>38.20</w:t>
      </w:r>
      <w:r>
        <w:rPr>
          <w:rFonts w:hint="default" w:ascii="仿宋_GB2312" w:hAnsi="仿宋" w:eastAsia="仿宋_GB2312"/>
          <w:color w:val="auto"/>
          <w:sz w:val="32"/>
          <w:szCs w:val="32"/>
          <w:lang w:val="en-US" w:eastAsia="zh-CN"/>
        </w:rPr>
        <w:t>万元，结余数</w:t>
      </w:r>
      <w:r>
        <w:rPr>
          <w:rFonts w:hint="eastAsia" w:ascii="仿宋_GB2312" w:hAnsi="仿宋" w:eastAsia="仿宋_GB2312"/>
          <w:color w:val="auto"/>
          <w:sz w:val="32"/>
          <w:szCs w:val="32"/>
          <w:lang w:val="en-US" w:eastAsia="zh-CN"/>
        </w:rPr>
        <w:t>0.68</w:t>
      </w:r>
      <w:r>
        <w:rPr>
          <w:rFonts w:hint="default" w:ascii="仿宋_GB2312" w:hAnsi="仿宋" w:eastAsia="仿宋_GB2312"/>
          <w:color w:val="auto"/>
          <w:sz w:val="32"/>
          <w:szCs w:val="32"/>
          <w:lang w:val="en-US" w:eastAsia="zh-CN"/>
        </w:rPr>
        <w:t>万元，日常公用经费全年预算数</w:t>
      </w:r>
      <w:r>
        <w:rPr>
          <w:rFonts w:hint="eastAsia" w:ascii="仿宋_GB2312" w:hAnsi="仿宋" w:eastAsia="仿宋_GB2312"/>
          <w:color w:val="auto"/>
          <w:sz w:val="32"/>
          <w:szCs w:val="32"/>
          <w:lang w:val="en-US" w:eastAsia="zh-CN"/>
        </w:rPr>
        <w:t>3.6</w:t>
      </w:r>
      <w:r>
        <w:rPr>
          <w:rFonts w:hint="default" w:ascii="仿宋_GB2312" w:hAnsi="仿宋" w:eastAsia="仿宋_GB2312"/>
          <w:color w:val="auto"/>
          <w:sz w:val="32"/>
          <w:szCs w:val="32"/>
          <w:lang w:val="en-US" w:eastAsia="zh-CN"/>
        </w:rPr>
        <w:t xml:space="preserve"> 万元，决算金额</w:t>
      </w:r>
      <w:r>
        <w:rPr>
          <w:rFonts w:hint="eastAsia" w:ascii="仿宋_GB2312" w:hAnsi="仿宋" w:eastAsia="仿宋_GB2312"/>
          <w:color w:val="auto"/>
          <w:sz w:val="32"/>
          <w:szCs w:val="32"/>
          <w:lang w:val="en-US" w:eastAsia="zh-CN"/>
        </w:rPr>
        <w:t>106.73</w:t>
      </w:r>
      <w:r>
        <w:rPr>
          <w:rFonts w:hint="default" w:ascii="仿宋_GB2312" w:hAnsi="仿宋" w:eastAsia="仿宋_GB2312"/>
          <w:color w:val="auto"/>
          <w:sz w:val="32"/>
          <w:szCs w:val="32"/>
          <w:lang w:val="en-US" w:eastAsia="zh-CN"/>
        </w:rPr>
        <w:t xml:space="preserve">万元，结余数 </w:t>
      </w:r>
      <w:r>
        <w:rPr>
          <w:rFonts w:hint="eastAsia" w:ascii="仿宋_GB2312" w:hAnsi="仿宋" w:eastAsia="仿宋_GB2312"/>
          <w:color w:val="auto"/>
          <w:sz w:val="32"/>
          <w:szCs w:val="32"/>
          <w:lang w:val="en-US" w:eastAsia="zh-CN"/>
        </w:rPr>
        <w:t>0</w:t>
      </w:r>
      <w:r>
        <w:rPr>
          <w:rFonts w:hint="default" w:ascii="仿宋_GB2312" w:hAnsi="仿宋" w:eastAsia="仿宋_GB2312"/>
          <w:color w:val="auto"/>
          <w:sz w:val="32"/>
          <w:szCs w:val="32"/>
          <w:lang w:val="en-US" w:eastAsia="zh-CN"/>
        </w:rPr>
        <w:t xml:space="preserve"> 万元。</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eastAsia"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（二）项目支出情况</w:t>
      </w:r>
    </w:p>
    <w:p>
      <w:pPr>
        <w:keepNext w:val="0"/>
        <w:keepLines w:val="0"/>
        <w:pageBreakBefore w:val="0"/>
        <w:wordWrap/>
        <w:overflowPunct/>
        <w:topLinePunct w:val="0"/>
        <w:bidi w:val="0"/>
        <w:snapToGrid w:val="0"/>
        <w:spacing w:line="578" w:lineRule="exact"/>
        <w:ind w:firstLine="640" w:firstLineChars="200"/>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2021年预算安排金额612.56万元，实际支出635.24万元，主要为地质灾害防治支出、排危除险支出、金盘村伏图山滑坡治理工程支出、省级多规合一试点村庄规划编制支出、桃花源镇农村宅基地和建设用地确权支出、土整项目支出、国土空间总体规划编制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三、政府性基金预算支出情况</w:t>
      </w:r>
    </w:p>
    <w:p>
      <w:pPr>
        <w:keepNext w:val="0"/>
        <w:keepLines w:val="0"/>
        <w:pageBreakBefore w:val="0"/>
        <w:wordWrap/>
        <w:overflowPunct/>
        <w:topLinePunct w:val="0"/>
        <w:bidi w:val="0"/>
        <w:snapToGrid w:val="0"/>
        <w:spacing w:line="578" w:lineRule="exact"/>
        <w:ind w:firstLine="640" w:firstLineChars="200"/>
        <w:rPr>
          <w:rFonts w:hint="eastAsia" w:ascii="仿宋_GB2312" w:hAnsi="仿宋" w:eastAsia="仿宋_GB2312"/>
          <w:color w:val="auto"/>
          <w:sz w:val="32"/>
          <w:szCs w:val="32"/>
          <w:lang w:val="en-US" w:eastAsia="zh-CN"/>
        </w:rPr>
      </w:pPr>
      <w:r>
        <w:rPr>
          <w:rFonts w:hint="eastAsia" w:ascii="仿宋_GB2312" w:hAnsi="仿宋" w:eastAsia="仿宋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四、国有资本经营预算支出情况</w:t>
      </w:r>
    </w:p>
    <w:p>
      <w:pPr>
        <w:keepNext w:val="0"/>
        <w:keepLines w:val="0"/>
        <w:pageBreakBefore w:val="0"/>
        <w:numPr>
          <w:ilvl w:val="0"/>
          <w:numId w:val="0"/>
        </w:numPr>
        <w:wordWrap/>
        <w:overflowPunct/>
        <w:topLinePunct w:val="0"/>
        <w:bidi w:val="0"/>
        <w:spacing w:line="578" w:lineRule="exact"/>
        <w:ind w:firstLine="640" w:firstLineChars="200"/>
        <w:rPr>
          <w:rFonts w:hint="default" w:ascii="黑体" w:hAnsi="黑体" w:eastAsia="黑体" w:cs="黑体"/>
          <w:spacing w:val="-13"/>
          <w:sz w:val="33"/>
          <w:szCs w:val="33"/>
          <w:lang w:val="en-US" w:eastAsia="zh-CN"/>
          <w14:textOutline w14:w="5994" w14:cap="flat" w14:cmpd="sng">
            <w14:solidFill>
              <w14:srgbClr w14:val="000000"/>
            </w14:solidFill>
            <w14:prstDash w14:val="solid"/>
            <w14:miter w14:val="0"/>
          </w14:textOutline>
        </w:rPr>
      </w:pPr>
      <w:r>
        <w:rPr>
          <w:rFonts w:hint="eastAsia" w:ascii="仿宋_GB2312" w:hAnsi="仿宋" w:eastAsia="仿宋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五、社会保险基金预算支出情况</w:t>
      </w:r>
    </w:p>
    <w:p>
      <w:pPr>
        <w:keepNext w:val="0"/>
        <w:keepLines w:val="0"/>
        <w:pageBreakBefore w:val="0"/>
        <w:numPr>
          <w:ilvl w:val="0"/>
          <w:numId w:val="0"/>
        </w:numPr>
        <w:wordWrap/>
        <w:overflowPunct/>
        <w:topLinePunct w:val="0"/>
        <w:bidi w:val="0"/>
        <w:spacing w:line="578" w:lineRule="exact"/>
        <w:ind w:firstLine="640" w:firstLineChars="200"/>
        <w:rPr>
          <w:rFonts w:hint="default" w:ascii="黑体" w:hAnsi="黑体" w:eastAsia="黑体" w:cs="黑体"/>
          <w:spacing w:val="-13"/>
          <w:sz w:val="33"/>
          <w:szCs w:val="33"/>
          <w:lang w:val="en-US" w:eastAsia="zh-CN"/>
          <w14:textOutline w14:w="5994" w14:cap="flat" w14:cmpd="sng">
            <w14:solidFill>
              <w14:srgbClr w14:val="000000"/>
            </w14:solidFill>
            <w14:prstDash w14:val="solid"/>
            <w14:miter w14:val="0"/>
          </w14:textOutline>
        </w:rPr>
      </w:pPr>
      <w:r>
        <w:rPr>
          <w:rFonts w:hint="eastAsia" w:ascii="仿宋_GB2312" w:hAnsi="仿宋" w:eastAsia="仿宋_GB2312"/>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六、部门整体支出绩效情况</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eastAsia"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（一）绩效目标的实现情况</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default" w:ascii="仿宋_GB2312" w:hAnsi="仿宋_GB2312" w:eastAsia="仿宋_GB2312" w:cs="仿宋_GB2312"/>
          <w:color w:val="auto"/>
          <w:kern w:val="2"/>
          <w:sz w:val="32"/>
          <w:szCs w:val="32"/>
          <w:lang w:val="en-US" w:eastAsia="zh-CN" w:bidi="ar-SA"/>
        </w:rPr>
        <w:t>202</w:t>
      </w:r>
      <w:r>
        <w:rPr>
          <w:rFonts w:hint="eastAsia" w:ascii="仿宋_GB2312" w:hAnsi="仿宋_GB2312" w:eastAsia="仿宋_GB2312" w:cs="仿宋_GB2312"/>
          <w:color w:val="auto"/>
          <w:kern w:val="2"/>
          <w:sz w:val="32"/>
          <w:szCs w:val="32"/>
          <w:lang w:val="en-US" w:eastAsia="zh-CN" w:bidi="ar-SA"/>
        </w:rPr>
        <w:t>1年，我单位积极履职，强化管理，较好地完成了年度工作目标。通过加强预算收支管理，不断建立健全内部管理制度，梳理内部管理流程，部门整体支出管理水平得到提升。根据部门整体支出绩效评价指标体系，我单位</w:t>
      </w:r>
      <w:r>
        <w:rPr>
          <w:rFonts w:hint="default" w:ascii="仿宋_GB2312" w:hAnsi="仿宋_GB2312" w:eastAsia="仿宋_GB2312" w:cs="仿宋_GB2312"/>
          <w:color w:val="auto"/>
          <w:kern w:val="2"/>
          <w:sz w:val="32"/>
          <w:szCs w:val="32"/>
          <w:lang w:val="en-US" w:eastAsia="zh-CN" w:bidi="ar-SA"/>
        </w:rPr>
        <w:t>202</w:t>
      </w:r>
      <w:r>
        <w:rPr>
          <w:rFonts w:hint="eastAsia" w:ascii="仿宋_GB2312" w:hAnsi="仿宋_GB2312" w:eastAsia="仿宋_GB2312" w:cs="仿宋_GB2312"/>
          <w:color w:val="auto"/>
          <w:kern w:val="2"/>
          <w:sz w:val="32"/>
          <w:szCs w:val="32"/>
          <w:lang w:val="en-US" w:eastAsia="zh-CN" w:bidi="ar-SA"/>
        </w:rPr>
        <w:t>1年度评价得分为95分。自评等级为“良”。从“投入、产出、效益、满意度” 4个维度进行绩效自评价如下：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1.投入评价满分10分，评价得分10分，得分率为100%；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2.产出指标分值50分，评价得分45分，得分率为90%；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3.效益指标分值30分，再评价得分30分，得分率100%；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4.满意指标分值10分，再评价得分10分，得分率100%；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以上明细自评分详见附表。</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eastAsia"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（二）社会效益</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建全地质灾害综合防治体系建设，有效防止地质灾害对人民生命财产造成的损失。 </w:t>
      </w:r>
    </w:p>
    <w:p>
      <w:pPr>
        <w:keepNext w:val="0"/>
        <w:keepLines w:val="0"/>
        <w:pageBreakBefore w:val="0"/>
        <w:widowControl w:val="0"/>
        <w:kinsoku/>
        <w:wordWrap/>
        <w:overflowPunct/>
        <w:topLinePunct w:val="0"/>
        <w:autoSpaceDE/>
        <w:autoSpaceDN/>
        <w:bidi w:val="0"/>
        <w:adjustRightInd/>
        <w:snapToGrid/>
        <w:spacing w:line="578" w:lineRule="exact"/>
        <w:ind w:firstLine="643" w:firstLineChars="200"/>
        <w:jc w:val="both"/>
        <w:textAlignment w:val="auto"/>
        <w:rPr>
          <w:rFonts w:hint="eastAsia" w:ascii="楷体_GB2312" w:hAnsi="楷体_GB2312" w:eastAsia="楷体_GB2312" w:cs="楷体_GB2312"/>
          <w:b/>
          <w:bCs w:val="0"/>
          <w:snapToGrid/>
          <w:kern w:val="0"/>
          <w:sz w:val="32"/>
          <w:szCs w:val="32"/>
          <w:lang w:val="en-US" w:eastAsia="zh-CN" w:bidi="ar-SA"/>
        </w:rPr>
      </w:pPr>
      <w:r>
        <w:rPr>
          <w:rFonts w:hint="eastAsia" w:ascii="楷体_GB2312" w:hAnsi="楷体_GB2312" w:eastAsia="楷体_GB2312" w:cs="楷体_GB2312"/>
          <w:b/>
          <w:bCs w:val="0"/>
          <w:snapToGrid/>
          <w:kern w:val="0"/>
          <w:sz w:val="32"/>
          <w:szCs w:val="32"/>
          <w:lang w:val="en-US" w:eastAsia="zh-CN" w:bidi="ar-SA"/>
        </w:rPr>
        <w:t>（三）社会满意度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eastAsia"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一是持续推动国土空间规划编制工作。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二是农村宅基地和集体建设用地房地一体确权登记颁证工作有序开展中。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三是地质灾害防治工作积极开展，确保人民群众生命和财产安全。桃花源未发生地质灾害引发的安全事故，全面保质保量完成了地质灾害工程治理项目和搬迁避让项目，消除率达100%。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四是征地拆迁工作成绩显著。我局开展征地攻坚，按照“先急后缓，分批实施，有序推进”的思路，聚焦重点项目，依法高效推进土地征收工作。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五是多规合一的村庄规划按质按需完成了新增农村宅基地调查摸底工作，保障农村村民住宅建设合理用地要求。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六是党建和行业文明创建同步发展。扎实开展“两学一做”活动，健全完善推进自然资源科学发展的长效机制；推进廉政建设，建立了具有自然资源特色的教育、制度、监督并重的惩治和预防腐败体系。</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 xml:space="preserve">七、存在的问题及原因分析 </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1.预算编制工作有待细化。预算编制不够明确和细化，预算编制的合理性需要提高，预算执行力度还要进一步加强。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2.因单位全额编制少导致经费不足：绩效工资和日常公用经费不足、与实际支出相差较大。</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578" w:lineRule="exact"/>
        <w:ind w:firstLine="640" w:firstLineChars="200"/>
        <w:textAlignment w:val="baseline"/>
        <w:rPr>
          <w:rFonts w:ascii="仿宋" w:hAnsi="仿宋" w:eastAsia="仿宋" w:cs="仿宋"/>
          <w:spacing w:val="-13"/>
          <w:sz w:val="33"/>
          <w:szCs w:val="33"/>
        </w:rPr>
      </w:pPr>
      <w:r>
        <w:rPr>
          <w:rFonts w:hint="eastAsia" w:ascii="仿宋_GB2312" w:hAnsi="仿宋_GB2312" w:eastAsia="仿宋_GB2312" w:cs="仿宋_GB2312"/>
          <w:color w:val="auto"/>
          <w:kern w:val="2"/>
          <w:sz w:val="32"/>
          <w:szCs w:val="32"/>
          <w:lang w:val="en-US" w:eastAsia="zh-CN" w:bidi="ar-SA"/>
        </w:rPr>
        <w:t>3.公用经费控制有一定难度，基本为刚性支出。</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八、下一步改进措施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针对上述存在的问题及对外整体支出管理工作的需要，拟实施的改进措施如下：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1.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2.加强财务管理，严格财务审核。加强单位财务管理，健全单位财务管理制度体系，规范单位财务行为。在费用报账支付时，按照预算规定的费用项目和用途进行资金使用审核、列报支付、财务核算，杜绝超支现象的发生。</w:t>
      </w:r>
    </w:p>
    <w:p>
      <w:pPr>
        <w:keepNext w:val="0"/>
        <w:keepLines w:val="0"/>
        <w:pageBreakBefore w:val="0"/>
        <w:widowControl w:val="0"/>
        <w:kinsoku/>
        <w:wordWrap/>
        <w:overflowPunct/>
        <w:topLinePunct w:val="0"/>
        <w:autoSpaceDE/>
        <w:autoSpaceDN/>
        <w:bidi w:val="0"/>
        <w:adjustRightInd/>
        <w:snapToGrid/>
        <w:spacing w:line="578" w:lineRule="exact"/>
        <w:ind w:firstLine="640" w:firstLineChars="200"/>
        <w:jc w:val="both"/>
        <w:textAlignment w:val="auto"/>
        <w:rPr>
          <w:rFonts w:hint="default"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3.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eastAsia" w:ascii="仿宋_GB2312" w:hAnsi="仿宋_GB2312" w:eastAsia="仿宋_GB2312" w:cs="仿宋_GB2312"/>
          <w:snapToGrid w:val="0"/>
          <w:color w:val="auto"/>
          <w:kern w:val="2"/>
          <w:sz w:val="32"/>
          <w:szCs w:val="32"/>
          <w:lang w:val="en-US" w:eastAsia="zh-CN" w:bidi="ar-SA"/>
        </w:rPr>
      </w:pPr>
      <w:r>
        <w:rPr>
          <w:rFonts w:hint="eastAsia" w:ascii="仿宋_GB2312" w:hAnsi="仿宋_GB2312" w:eastAsia="仿宋_GB2312" w:cs="仿宋_GB2312"/>
          <w:snapToGrid w:val="0"/>
          <w:color w:val="auto"/>
          <w:kern w:val="2"/>
          <w:sz w:val="32"/>
          <w:szCs w:val="32"/>
          <w:lang w:val="en-US" w:eastAsia="zh-CN" w:bidi="ar-SA"/>
        </w:rPr>
        <w:t>4.对相关人员加强培训，特别是针对《预算法》《行政事业单位会计制度》等学习培训，规范部门预算收支核算，切实提高部门预算收支管理水平。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578" w:lineRule="exact"/>
        <w:ind w:right="0" w:firstLine="640" w:firstLineChars="200"/>
        <w:jc w:val="both"/>
        <w:textAlignment w:val="baseline"/>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九、部门整体支出绩效自评结果拟应用和公开情况</w:t>
      </w:r>
    </w:p>
    <w:p>
      <w:pPr>
        <w:keepNext w:val="0"/>
        <w:keepLines w:val="0"/>
        <w:pageBreakBefore w:val="0"/>
        <w:wordWrap/>
        <w:overflowPunct/>
        <w:topLinePunct w:val="0"/>
        <w:bidi w:val="0"/>
        <w:snapToGrid w:val="0"/>
        <w:spacing w:line="578" w:lineRule="exact"/>
        <w:ind w:firstLine="640" w:firstLineChars="200"/>
        <w:rPr>
          <w:rFonts w:hint="default" w:ascii="黑体" w:hAnsi="黑体" w:eastAsia="黑体" w:cs="黑体"/>
          <w:spacing w:val="-13"/>
          <w:sz w:val="33"/>
          <w:szCs w:val="33"/>
          <w:lang w:val="en-US" w:eastAsia="zh-CN"/>
          <w14:textOutline w14:w="5994" w14:cap="flat" w14:cmpd="sng">
            <w14:solidFill>
              <w14:srgbClr w14:val="000000"/>
            </w14:solidFill>
            <w14:prstDash w14:val="solid"/>
            <w14:miter w14:val="0"/>
          </w14:textOutline>
        </w:rPr>
      </w:pPr>
      <w:r>
        <w:rPr>
          <w:rFonts w:hint="eastAsia" w:ascii="仿宋_GB2312" w:hAnsi="仿宋" w:eastAsia="仿宋_GB2312"/>
          <w:color w:val="auto"/>
          <w:sz w:val="32"/>
          <w:szCs w:val="32"/>
          <w:shd w:val="clear" w:color="auto" w:fill="FFFFFF"/>
        </w:rPr>
        <w:t>按时、按要求如实公开。</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snapToGrid/>
          <w:color w:val="000000" w:themeColor="text1"/>
          <w:kern w:val="2"/>
          <w:sz w:val="32"/>
          <w:szCs w:val="32"/>
          <w:lang w:val="en-US" w:eastAsia="zh-CN" w:bidi="ar-SA"/>
          <w14:textFill>
            <w14:solidFill>
              <w14:schemeClr w14:val="tx1"/>
            </w14:solidFill>
          </w14:textFill>
        </w:rPr>
        <w:t>其他需要说明的情况</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640" w:firstLineChars="200"/>
        <w:jc w:val="both"/>
        <w:textAlignment w:val="auto"/>
        <w:rPr>
          <w:rFonts w:hint="eastAsia" w:ascii="黑体" w:hAnsi="黑体" w:eastAsia="黑体" w:cs="黑体"/>
          <w:b w:val="0"/>
          <w:bCs w:val="0"/>
          <w:snapToGrid/>
          <w:color w:val="000000" w:themeColor="text1"/>
          <w:kern w:val="2"/>
          <w:sz w:val="32"/>
          <w:szCs w:val="32"/>
          <w:lang w:val="en-US" w:eastAsia="zh-CN" w:bidi="ar-SA"/>
          <w14:textFill>
            <w14:solidFill>
              <w14:schemeClr w14:val="tx1"/>
            </w14:solidFill>
          </w14:textFill>
        </w:rPr>
      </w:pPr>
      <w:r>
        <w:rPr>
          <w:rFonts w:hint="eastAsia" w:ascii="黑体" w:hAnsi="黑体" w:eastAsia="黑体" w:cs="黑体"/>
          <w:b w:val="0"/>
          <w:bCs w:val="0"/>
          <w:snapToGrid/>
          <w:color w:val="000000" w:themeColor="text1"/>
          <w:kern w:val="2"/>
          <w:sz w:val="32"/>
          <w:szCs w:val="32"/>
          <w:lang w:val="en-US" w:eastAsia="zh-CN" w:bidi="ar-SA"/>
          <w14:textFill>
            <w14:solidFill>
              <w14:schemeClr w14:val="tx1"/>
            </w14:solidFill>
          </w14:textFill>
        </w:rPr>
        <w:t>无</w:t>
      </w:r>
    </w:p>
    <w:p>
      <w:pPr>
        <w:keepNext w:val="0"/>
        <w:keepLines w:val="0"/>
        <w:pageBreakBefore w:val="0"/>
        <w:widowControl w:val="0"/>
        <w:numPr>
          <w:ilvl w:val="0"/>
          <w:numId w:val="0"/>
        </w:numPr>
        <w:kinsoku/>
        <w:wordWrap/>
        <w:overflowPunct/>
        <w:topLinePunct w:val="0"/>
        <w:autoSpaceDE/>
        <w:autoSpaceDN/>
        <w:bidi w:val="0"/>
        <w:adjustRightInd/>
        <w:snapToGrid/>
        <w:spacing w:line="578" w:lineRule="exact"/>
        <w:ind w:firstLine="576" w:firstLineChars="200"/>
        <w:jc w:val="both"/>
        <w:textAlignment w:val="auto"/>
        <w:rPr>
          <w:rFonts w:ascii="仿宋" w:hAnsi="仿宋" w:eastAsia="仿宋" w:cs="仿宋"/>
          <w:sz w:val="33"/>
          <w:szCs w:val="33"/>
        </w:rPr>
      </w:pPr>
      <w:r>
        <w:rPr>
          <w:rFonts w:ascii="仿宋" w:hAnsi="仿宋" w:eastAsia="仿宋" w:cs="仿宋"/>
          <w:spacing w:val="-21"/>
          <w:sz w:val="33"/>
          <w:szCs w:val="33"/>
        </w:rPr>
        <w:t>报</w:t>
      </w:r>
      <w:r>
        <w:rPr>
          <w:rFonts w:ascii="仿宋" w:hAnsi="仿宋" w:eastAsia="仿宋" w:cs="仿宋"/>
          <w:spacing w:val="-18"/>
          <w:sz w:val="33"/>
          <w:szCs w:val="33"/>
        </w:rPr>
        <w:t>告需要以下附件：</w:t>
      </w:r>
      <w:r>
        <w:rPr>
          <w:rFonts w:ascii="仿宋" w:hAnsi="仿宋" w:eastAsia="仿宋" w:cs="仿宋"/>
          <w:sz w:val="33"/>
          <w:szCs w:val="33"/>
        </w:rPr>
        <w:t xml:space="preserve">                     </w:t>
      </w:r>
    </w:p>
    <w:p>
      <w:pPr>
        <w:keepNext w:val="0"/>
        <w:keepLines w:val="0"/>
        <w:pageBreakBefore w:val="0"/>
        <w:numPr>
          <w:ilvl w:val="0"/>
          <w:numId w:val="0"/>
        </w:numPr>
        <w:wordWrap/>
        <w:overflowPunct/>
        <w:topLinePunct w:val="0"/>
        <w:bidi w:val="0"/>
        <w:spacing w:line="578" w:lineRule="exact"/>
        <w:ind w:firstLine="596" w:firstLineChars="200"/>
        <w:rPr>
          <w:rFonts w:ascii="仿宋" w:hAnsi="仿宋" w:eastAsia="仿宋" w:cs="仿宋"/>
          <w:sz w:val="33"/>
          <w:szCs w:val="33"/>
        </w:rPr>
      </w:pPr>
      <w:r>
        <w:rPr>
          <w:rFonts w:hint="eastAsia" w:ascii="仿宋" w:hAnsi="仿宋" w:eastAsia="仿宋" w:cs="仿宋"/>
          <w:spacing w:val="-16"/>
          <w:sz w:val="33"/>
          <w:szCs w:val="33"/>
          <w:lang w:val="en-US" w:eastAsia="zh-CN"/>
        </w:rPr>
        <w:t>1.</w:t>
      </w:r>
      <w:r>
        <w:rPr>
          <w:rFonts w:ascii="仿宋" w:hAnsi="仿宋" w:eastAsia="仿宋" w:cs="仿宋"/>
          <w:spacing w:val="-16"/>
          <w:sz w:val="33"/>
          <w:szCs w:val="33"/>
        </w:rPr>
        <w:t>部门整体支出绩效评价基础数据表</w:t>
      </w:r>
      <w:r>
        <w:rPr>
          <w:rFonts w:ascii="仿宋" w:hAnsi="仿宋" w:eastAsia="仿宋" w:cs="仿宋"/>
          <w:sz w:val="33"/>
          <w:szCs w:val="33"/>
        </w:rPr>
        <w:t xml:space="preserve">         </w:t>
      </w:r>
    </w:p>
    <w:p>
      <w:pPr>
        <w:keepNext w:val="0"/>
        <w:keepLines w:val="0"/>
        <w:pageBreakBefore w:val="0"/>
        <w:numPr>
          <w:ilvl w:val="0"/>
          <w:numId w:val="0"/>
        </w:numPr>
        <w:wordWrap/>
        <w:overflowPunct/>
        <w:topLinePunct w:val="0"/>
        <w:bidi w:val="0"/>
        <w:spacing w:line="578" w:lineRule="exact"/>
        <w:ind w:firstLine="600" w:firstLineChars="200"/>
        <w:rPr>
          <w:rFonts w:ascii="仿宋" w:hAnsi="仿宋" w:eastAsia="仿宋" w:cs="仿宋"/>
          <w:sz w:val="33"/>
          <w:szCs w:val="33"/>
        </w:rPr>
      </w:pPr>
      <w:r>
        <w:rPr>
          <w:rFonts w:hint="eastAsia" w:ascii="仿宋" w:hAnsi="仿宋" w:eastAsia="仿宋" w:cs="仿宋"/>
          <w:spacing w:val="-15"/>
          <w:sz w:val="33"/>
          <w:szCs w:val="33"/>
          <w:lang w:val="en-US" w:eastAsia="zh-CN"/>
        </w:rPr>
        <w:t>2.</w:t>
      </w:r>
      <w:r>
        <w:rPr>
          <w:rFonts w:ascii="仿宋" w:hAnsi="仿宋" w:eastAsia="仿宋" w:cs="仿宋"/>
          <w:spacing w:val="-15"/>
          <w:sz w:val="33"/>
          <w:szCs w:val="33"/>
        </w:rPr>
        <w:t>部门整体支出绩效自评表</w:t>
      </w:r>
      <w:r>
        <w:rPr>
          <w:rFonts w:ascii="仿宋" w:hAnsi="仿宋" w:eastAsia="仿宋" w:cs="仿宋"/>
          <w:sz w:val="33"/>
          <w:szCs w:val="33"/>
        </w:rPr>
        <w:t xml:space="preserve">                </w:t>
      </w:r>
    </w:p>
    <w:p>
      <w:pPr>
        <w:keepNext w:val="0"/>
        <w:keepLines w:val="0"/>
        <w:pageBreakBefore w:val="0"/>
        <w:numPr>
          <w:ilvl w:val="0"/>
          <w:numId w:val="0"/>
        </w:numPr>
        <w:wordWrap/>
        <w:overflowPunct/>
        <w:topLinePunct w:val="0"/>
        <w:bidi w:val="0"/>
        <w:spacing w:line="578" w:lineRule="exact"/>
        <w:ind w:firstLine="620" w:firstLineChars="200"/>
        <w:rPr>
          <w:rFonts w:ascii="Arial"/>
          <w:sz w:val="21"/>
        </w:rPr>
      </w:pPr>
      <w:r>
        <w:rPr>
          <w:rFonts w:ascii="仿宋" w:hAnsi="仿宋" w:eastAsia="仿宋" w:cs="仿宋"/>
          <w:spacing w:val="-10"/>
          <w:sz w:val="33"/>
          <w:szCs w:val="33"/>
        </w:rPr>
        <w:t>3</w:t>
      </w:r>
      <w:r>
        <w:rPr>
          <w:rFonts w:ascii="仿宋" w:hAnsi="仿宋" w:eastAsia="仿宋" w:cs="仿宋"/>
          <w:spacing w:val="-8"/>
          <w:sz w:val="33"/>
          <w:szCs w:val="33"/>
        </w:rPr>
        <w:t>.</w:t>
      </w:r>
      <w:r>
        <w:rPr>
          <w:rFonts w:ascii="仿宋" w:hAnsi="仿宋" w:eastAsia="仿宋" w:cs="仿宋"/>
          <w:spacing w:val="-5"/>
          <w:sz w:val="33"/>
          <w:szCs w:val="33"/>
        </w:rPr>
        <w:t>项目支出绩效自评表(一个项目支出一张表)</w:t>
      </w:r>
    </w:p>
    <w:sectPr>
      <w:headerReference r:id="rId6" w:type="default"/>
      <w:pgSz w:w="11900" w:h="16830"/>
      <w:pgMar w:top="2098" w:right="1474" w:bottom="1984" w:left="158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2000000000000000000"/>
    <w:charset w:val="86"/>
    <w:family w:val="auto"/>
    <w:pitch w:val="default"/>
    <w:sig w:usb0="00000000" w:usb1="00000000" w:usb2="00000012" w:usb3="00000000" w:csb0="00040001" w:csb1="00000000"/>
  </w:font>
  <w:font w:name="Arial Unicode MS">
    <w:panose1 w:val="020B0604020202020204"/>
    <w:charset w:val="86"/>
    <w:family w:val="auto"/>
    <w:pitch w:val="default"/>
    <w:sig w:usb0="FFFFFFFF" w:usb1="E9FFFFFF" w:usb2="0000003F" w:usb3="00000000" w:csb0="603F01FF" w:csb1="FFFF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57381"/>
    <w:multiLevelType w:val="singleLevel"/>
    <w:tmpl w:val="F9557381"/>
    <w:lvl w:ilvl="0" w:tentative="0">
      <w:start w:val="10"/>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FmMzE3N2JlNzgyNDg2MTU5NjUyMmM4YzUyN2U5YzEifQ=="/>
  </w:docVars>
  <w:rsids>
    <w:rsidRoot w:val="00000000"/>
    <w:rsid w:val="01A75D9E"/>
    <w:rsid w:val="04676213"/>
    <w:rsid w:val="065E16B3"/>
    <w:rsid w:val="06A27FAC"/>
    <w:rsid w:val="06FC7E32"/>
    <w:rsid w:val="073D7BB9"/>
    <w:rsid w:val="0A734F41"/>
    <w:rsid w:val="0B5450D5"/>
    <w:rsid w:val="0B7D06A0"/>
    <w:rsid w:val="0BD867F5"/>
    <w:rsid w:val="0CB96317"/>
    <w:rsid w:val="0CFE544E"/>
    <w:rsid w:val="0E520C74"/>
    <w:rsid w:val="0E6374EB"/>
    <w:rsid w:val="0EF56BB3"/>
    <w:rsid w:val="0FC0794E"/>
    <w:rsid w:val="0FE004C6"/>
    <w:rsid w:val="118D0BA6"/>
    <w:rsid w:val="14B27FDC"/>
    <w:rsid w:val="15066FD1"/>
    <w:rsid w:val="157E5F5D"/>
    <w:rsid w:val="15EE7832"/>
    <w:rsid w:val="16811EAF"/>
    <w:rsid w:val="176835AE"/>
    <w:rsid w:val="19063790"/>
    <w:rsid w:val="1A8B1FA6"/>
    <w:rsid w:val="1AD77472"/>
    <w:rsid w:val="1B3109D2"/>
    <w:rsid w:val="1C380FDF"/>
    <w:rsid w:val="1DFC677F"/>
    <w:rsid w:val="1E350A31"/>
    <w:rsid w:val="1E7D0346"/>
    <w:rsid w:val="1EC97197"/>
    <w:rsid w:val="20D81CF4"/>
    <w:rsid w:val="21F20D9D"/>
    <w:rsid w:val="22E61058"/>
    <w:rsid w:val="25DD40C7"/>
    <w:rsid w:val="2A1401B0"/>
    <w:rsid w:val="2AE836EF"/>
    <w:rsid w:val="2B52201F"/>
    <w:rsid w:val="2BEA3B64"/>
    <w:rsid w:val="2E1F1DD4"/>
    <w:rsid w:val="2E684A3C"/>
    <w:rsid w:val="2E780277"/>
    <w:rsid w:val="2ED66397"/>
    <w:rsid w:val="2FB503A1"/>
    <w:rsid w:val="30962D44"/>
    <w:rsid w:val="315B709B"/>
    <w:rsid w:val="31D160FD"/>
    <w:rsid w:val="34533E51"/>
    <w:rsid w:val="35721391"/>
    <w:rsid w:val="35BD2D8D"/>
    <w:rsid w:val="35EB2B0E"/>
    <w:rsid w:val="371B7F38"/>
    <w:rsid w:val="38787798"/>
    <w:rsid w:val="39864609"/>
    <w:rsid w:val="39A42B02"/>
    <w:rsid w:val="3F047865"/>
    <w:rsid w:val="3F1551A7"/>
    <w:rsid w:val="3F7A740A"/>
    <w:rsid w:val="3FD9025D"/>
    <w:rsid w:val="409117FE"/>
    <w:rsid w:val="44D75544"/>
    <w:rsid w:val="45D9419E"/>
    <w:rsid w:val="4674542E"/>
    <w:rsid w:val="47A72F0F"/>
    <w:rsid w:val="47BC10F9"/>
    <w:rsid w:val="48575181"/>
    <w:rsid w:val="4866292B"/>
    <w:rsid w:val="4CBF0392"/>
    <w:rsid w:val="4E936599"/>
    <w:rsid w:val="4EE60E47"/>
    <w:rsid w:val="4F512AE5"/>
    <w:rsid w:val="500F2A77"/>
    <w:rsid w:val="51FD4A72"/>
    <w:rsid w:val="520C629E"/>
    <w:rsid w:val="560627D4"/>
    <w:rsid w:val="561C2B81"/>
    <w:rsid w:val="56CE2095"/>
    <w:rsid w:val="573E1BD3"/>
    <w:rsid w:val="574E397C"/>
    <w:rsid w:val="576F626A"/>
    <w:rsid w:val="580764A3"/>
    <w:rsid w:val="59AD4EE7"/>
    <w:rsid w:val="59E65673"/>
    <w:rsid w:val="5A50198E"/>
    <w:rsid w:val="5A7F7E95"/>
    <w:rsid w:val="5C115CCD"/>
    <w:rsid w:val="5DB03001"/>
    <w:rsid w:val="5EE27A85"/>
    <w:rsid w:val="5FC92290"/>
    <w:rsid w:val="619716D2"/>
    <w:rsid w:val="6269590D"/>
    <w:rsid w:val="62A04013"/>
    <w:rsid w:val="636A5ACD"/>
    <w:rsid w:val="636D3DA6"/>
    <w:rsid w:val="652E4F16"/>
    <w:rsid w:val="66191DD7"/>
    <w:rsid w:val="66553674"/>
    <w:rsid w:val="685D7634"/>
    <w:rsid w:val="6A5303E1"/>
    <w:rsid w:val="6A571B59"/>
    <w:rsid w:val="6BD85F4D"/>
    <w:rsid w:val="6CA51AD2"/>
    <w:rsid w:val="6CD50EFF"/>
    <w:rsid w:val="6CEA5E19"/>
    <w:rsid w:val="6CF048C6"/>
    <w:rsid w:val="6D4C7930"/>
    <w:rsid w:val="6DC10104"/>
    <w:rsid w:val="6DD23911"/>
    <w:rsid w:val="6E310761"/>
    <w:rsid w:val="6EA22534"/>
    <w:rsid w:val="6ED0257A"/>
    <w:rsid w:val="6F06227F"/>
    <w:rsid w:val="6FEC6FEC"/>
    <w:rsid w:val="705454F8"/>
    <w:rsid w:val="72D152FD"/>
    <w:rsid w:val="74503DA8"/>
    <w:rsid w:val="75BC6305"/>
    <w:rsid w:val="75E866A3"/>
    <w:rsid w:val="75F00787"/>
    <w:rsid w:val="77B822CE"/>
    <w:rsid w:val="78462677"/>
    <w:rsid w:val="785416FD"/>
    <w:rsid w:val="79AA77DD"/>
    <w:rsid w:val="7A3E2B48"/>
    <w:rsid w:val="7A57266F"/>
    <w:rsid w:val="7A7F5248"/>
    <w:rsid w:val="7C714CE1"/>
    <w:rsid w:val="7D044A01"/>
    <w:rsid w:val="7D2D4AA8"/>
    <w:rsid w:val="7DBC39BB"/>
    <w:rsid w:val="7DF47842"/>
    <w:rsid w:val="7EE61F99"/>
    <w:rsid w:val="7EE75906"/>
    <w:rsid w:val="7F622A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3897</Words>
  <Characters>4245</Characters>
  <TotalTime>0</TotalTime>
  <ScaleCrop>false</ScaleCrop>
  <LinksUpToDate>false</LinksUpToDate>
  <CharactersWithSpaces>4340</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2022-07-15T08:58:00Z</dcterms:created>
  <dc:creator>Kingsoft-PDF</dc:creator>
  <cp:keywords>62d0bb941d1b040015223089</cp:keywords>
  <cp:lastModifiedBy>lxdn</cp:lastModifiedBy>
  <cp:lastPrinted>2022-07-16T02:40:00Z</cp:lastPrinted>
  <dcterms:modified xsi:type="dcterms:W3CDTF">2022-11-16T00:27:57Z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2022-07-15T08:58:13Z</vt:filetime>
  </property>
  <property fmtid="{D5CDD505-2E9C-101B-9397-08002B2CF9AE}" pid="4" name="KSOProductBuildVer">
    <vt:lpwstr>2052-11.1.0.12763</vt:lpwstr>
  </property>
  <property fmtid="{D5CDD505-2E9C-101B-9397-08002B2CF9AE}" pid="5" name="ICV">
    <vt:lpwstr>2404C004CAD64DC79116340033609DDC</vt:lpwstr>
  </property>
</Properties>
</file>