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5" w:line="240" w:lineRule="exact"/>
        <w:ind w:left="764"/>
        <w:textAlignment w:val="baseline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7" w:line="240" w:lineRule="exact"/>
        <w:ind w:left="2420"/>
        <w:textAlignment w:val="baseline"/>
        <w:rPr>
          <w:rFonts w:ascii="宋体" w:hAnsi="宋体" w:eastAsia="宋体" w:cs="宋体"/>
          <w:sz w:val="39"/>
          <w:szCs w:val="39"/>
        </w:rPr>
      </w:pPr>
      <w:r>
        <w:rPr>
          <w:rFonts w:ascii="宋体" w:hAnsi="宋体" w:eastAsia="宋体" w:cs="宋体"/>
          <w:spacing w:val="-23"/>
          <w:sz w:val="39"/>
          <w:szCs w:val="39"/>
          <w14:textOutline w14:w="7086" w14:cap="flat" w14:cmpd="sng">
            <w14:solidFill>
              <w14:srgbClr w14:val="000000"/>
            </w14:solidFill>
            <w14:prstDash w14:val="solid"/>
            <w14:miter w14:val="0"/>
          </w14:textOutline>
        </w:rPr>
        <w:t>2021年度部门整体支出绩效自评表</w:t>
      </w:r>
    </w:p>
    <w:p>
      <w:pPr>
        <w:spacing w:line="139" w:lineRule="exact"/>
      </w:pPr>
    </w:p>
    <w:tbl>
      <w:tblPr>
        <w:tblStyle w:val="4"/>
        <w:tblW w:w="9899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4"/>
        <w:gridCol w:w="1069"/>
        <w:gridCol w:w="1049"/>
        <w:gridCol w:w="829"/>
        <w:gridCol w:w="400"/>
        <w:gridCol w:w="489"/>
        <w:gridCol w:w="799"/>
        <w:gridCol w:w="1249"/>
        <w:gridCol w:w="709"/>
        <w:gridCol w:w="859"/>
        <w:gridCol w:w="138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064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8"/>
              <w:ind w:left="214" w:right="138" w:hanging="9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预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算单位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名称</w:t>
            </w:r>
          </w:p>
        </w:tc>
        <w:tc>
          <w:tcPr>
            <w:tcW w:w="8835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常德市自然资源和规划局桃花源分局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10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4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before="65" w:line="237" w:lineRule="auto"/>
              <w:ind w:left="225" w:right="18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年度预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算</w:t>
            </w: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申请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20"/>
                <w:szCs w:val="20"/>
              </w:rPr>
              <w:t>(万元</w:t>
            </w:r>
            <w:r>
              <w:rPr>
                <w:rFonts w:ascii="宋体" w:hAnsi="宋体" w:eastAsia="宋体" w:cs="宋体"/>
                <w:spacing w:val="10"/>
                <w:sz w:val="20"/>
                <w:szCs w:val="20"/>
              </w:rPr>
              <w:t>)</w:t>
            </w:r>
          </w:p>
        </w:tc>
        <w:tc>
          <w:tcPr>
            <w:tcW w:w="21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2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4" w:line="222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上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</w:t>
            </w:r>
          </w:p>
          <w:p>
            <w:pPr>
              <w:spacing w:line="220" w:lineRule="auto"/>
              <w:ind w:left="202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>结转</w:t>
            </w:r>
          </w:p>
        </w:tc>
        <w:tc>
          <w:tcPr>
            <w:tcW w:w="88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222" w:lineRule="auto"/>
              <w:ind w:left="2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初</w:t>
            </w:r>
          </w:p>
          <w:p>
            <w:pPr>
              <w:spacing w:line="219" w:lineRule="auto"/>
              <w:ind w:left="233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79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63" w:line="231" w:lineRule="auto"/>
              <w:ind w:left="1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</w:t>
            </w:r>
          </w:p>
          <w:p>
            <w:pPr>
              <w:spacing w:line="219" w:lineRule="auto"/>
              <w:ind w:left="194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预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算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left="11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全年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执行数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left="14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4"/>
                <w:sz w:val="20"/>
                <w:szCs w:val="20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值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left="12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执行率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4" w:line="219" w:lineRule="auto"/>
              <w:ind w:left="488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得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11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19" w:lineRule="auto"/>
              <w:ind w:left="45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年度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资金总额</w:t>
            </w:r>
          </w:p>
        </w:tc>
        <w:tc>
          <w:tcPr>
            <w:tcW w:w="82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236.45</w:t>
            </w:r>
          </w:p>
        </w:tc>
        <w:tc>
          <w:tcPr>
            <w:tcW w:w="88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655.04</w:t>
            </w:r>
          </w:p>
        </w:tc>
        <w:tc>
          <w:tcPr>
            <w:tcW w:w="79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891.49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1002.69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25" w:line="185" w:lineRule="auto"/>
              <w:ind w:left="246"/>
              <w:jc w:val="both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112.47%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5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19" w:lineRule="auto"/>
              <w:ind w:left="28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按收入性质分：</w:t>
            </w:r>
          </w:p>
        </w:tc>
        <w:tc>
          <w:tcPr>
            <w:tcW w:w="420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4" w:line="219" w:lineRule="auto"/>
              <w:ind w:left="10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按支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出性质分：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5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19" w:lineRule="auto"/>
              <w:ind w:left="280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其中：一般公共预算：</w:t>
            </w: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  <w:lang w:val="en-US" w:eastAsia="zh-CN"/>
              </w:rPr>
              <w:t>1188.33</w:t>
            </w:r>
          </w:p>
        </w:tc>
        <w:tc>
          <w:tcPr>
            <w:tcW w:w="420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19" w:lineRule="auto"/>
              <w:ind w:left="105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其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中：基本支出：</w:t>
            </w:r>
            <w:r>
              <w:rPr>
                <w:rFonts w:hint="eastAsia" w:ascii="宋体" w:hAnsi="宋体" w:eastAsia="宋体" w:cs="宋体"/>
                <w:spacing w:val="-1"/>
                <w:sz w:val="20"/>
                <w:szCs w:val="20"/>
                <w:lang w:val="en-US" w:eastAsia="zh-CN"/>
              </w:rPr>
              <w:t>367.46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5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2" w:line="219" w:lineRule="auto"/>
              <w:ind w:left="891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政府性基金拨款：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20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705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项目支出：</w:t>
            </w:r>
            <w:r>
              <w:rPr>
                <w:rFonts w:hint="eastAsia" w:ascii="宋体" w:hAnsi="宋体" w:eastAsia="宋体" w:cs="宋体"/>
                <w:spacing w:val="20"/>
                <w:sz w:val="20"/>
                <w:szCs w:val="20"/>
                <w:lang w:val="en-US" w:eastAsia="zh-CN"/>
              </w:rPr>
              <w:t>635.24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5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19" w:lineRule="auto"/>
              <w:ind w:left="280"/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纳入专户管理的非税收</w:t>
            </w:r>
            <w:r>
              <w:rPr>
                <w:rFonts w:ascii="宋体" w:hAnsi="宋体" w:eastAsia="宋体" w:cs="宋体"/>
                <w:sz w:val="20"/>
                <w:szCs w:val="20"/>
              </w:rPr>
              <w:t>入拨款：</w:t>
            </w:r>
          </w:p>
        </w:tc>
        <w:tc>
          <w:tcPr>
            <w:tcW w:w="420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10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5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1501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eastAsia="宋体" w:cs="宋体"/>
                <w:spacing w:val="20"/>
                <w:sz w:val="20"/>
                <w:szCs w:val="20"/>
              </w:rPr>
              <w:t>其他资金</w:t>
            </w:r>
            <w:r>
              <w:rPr>
                <w:rFonts w:ascii="宋体" w:hAnsi="宋体" w:eastAsia="宋体" w:cs="宋体"/>
                <w:spacing w:val="19"/>
                <w:sz w:val="20"/>
                <w:szCs w:val="20"/>
              </w:rPr>
              <w:t>：</w:t>
            </w:r>
          </w:p>
        </w:tc>
        <w:tc>
          <w:tcPr>
            <w:tcW w:w="420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1064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before="244" w:line="238" w:lineRule="auto"/>
              <w:ind w:left="324" w:right="137" w:hanging="20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年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度总体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w w:val="97"/>
                <w:sz w:val="20"/>
                <w:szCs w:val="20"/>
              </w:rPr>
              <w:t>目</w:t>
            </w:r>
            <w:r>
              <w:rPr>
                <w:rFonts w:ascii="宋体" w:hAnsi="宋体" w:eastAsia="宋体" w:cs="宋体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9"/>
                <w:w w:val="97"/>
                <w:sz w:val="20"/>
                <w:szCs w:val="20"/>
              </w:rPr>
              <w:t>标</w:t>
            </w:r>
          </w:p>
        </w:tc>
        <w:tc>
          <w:tcPr>
            <w:tcW w:w="4635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4" w:line="220" w:lineRule="auto"/>
              <w:ind w:left="191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预期目标</w:t>
            </w:r>
          </w:p>
        </w:tc>
        <w:tc>
          <w:tcPr>
            <w:tcW w:w="420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94" w:line="219" w:lineRule="auto"/>
              <w:ind w:left="1535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2"/>
                <w:sz w:val="20"/>
                <w:szCs w:val="20"/>
              </w:rPr>
              <w:t>实际</w:t>
            </w: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1" w:hRule="atLeast"/>
        </w:trPr>
        <w:tc>
          <w:tcPr>
            <w:tcW w:w="1064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635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1510"/>
              </w:tabs>
              <w:ind w:firstLine="360" w:firstLineChars="200"/>
              <w:rPr>
                <w:rFonts w:hint="eastAsia" w:ascii="Arial" w:eastAsia="宋体"/>
                <w:sz w:val="18"/>
                <w:szCs w:val="18"/>
                <w:lang w:eastAsia="zh-CN"/>
              </w:rPr>
            </w:pPr>
            <w:r>
              <w:rPr>
                <w:rFonts w:hint="eastAsia" w:ascii="Arial" w:eastAsia="宋体"/>
                <w:sz w:val="18"/>
                <w:szCs w:val="18"/>
                <w:lang w:eastAsia="zh-CN"/>
              </w:rPr>
              <w:t>围绕落实市政府、市局的决策部署，认真贯彻落实征地拆迁政策,有序推进完成年度内征地拆迁等各项行动任务目标；监督管理各类自然保护用地，加大耕地保护力度；按要求组织推进村庄规划编制、村民建房上图入库、设施农用地备案等工作；推进农村房地一体数据库建设；组织开展地质灾害综合防治巡查；加大控违拆违宣传力度,提高群众对违法建设危害的认识度；增加控违拆违巡查力度和处置力度，保护群众合法权益，保障城乡规划顺利实施；优化营商坏境，提高社会公众和服务对象满意度</w:t>
            </w:r>
          </w:p>
        </w:tc>
        <w:tc>
          <w:tcPr>
            <w:tcW w:w="4200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default" w:ascii="Arial" w:eastAsia="宋体"/>
                <w:sz w:val="18"/>
                <w:szCs w:val="18"/>
                <w:lang w:val="en-US" w:eastAsia="zh-CN"/>
              </w:rPr>
            </w:pPr>
            <w:r>
              <w:rPr>
                <w:rFonts w:hint="eastAsia" w:eastAsia="宋体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“大棚户”疑似问题图斑完成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11个，地灾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普适化监测仪安装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5处，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安装地灾警示牌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19个，党建活动次数12次，“三公”经费支出1万元，严格控制在预算范围内，</w:t>
            </w:r>
            <w:r>
              <w:rPr>
                <w:rFonts w:ascii="宋体" w:hAnsi="宋体" w:eastAsia="宋体" w:cs="宋体"/>
                <w:spacing w:val="-3"/>
                <w:sz w:val="18"/>
                <w:szCs w:val="18"/>
              </w:rPr>
              <w:t>全</w:t>
            </w:r>
            <w:r>
              <w:rPr>
                <w:rFonts w:hint="eastAsia" w:ascii="宋体" w:hAnsi="宋体" w:eastAsia="宋体" w:cs="宋体"/>
                <w:spacing w:val="-3"/>
                <w:sz w:val="18"/>
                <w:szCs w:val="18"/>
                <w:lang w:val="en-US" w:eastAsia="zh-CN"/>
              </w:rPr>
              <w:t>年累计</w:t>
            </w: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开展动态巡查150人次；认真开展“三地两矿”卫片执法监督检查，核实部、省下发卫片图斑300个、监测面积600亩,无新增违法用地；完成6宗存量违法用地整改，</w:t>
            </w:r>
            <w:r>
              <w:rPr>
                <w:rFonts w:hint="default" w:ascii="Arial" w:eastAsia="宋体"/>
                <w:sz w:val="18"/>
                <w:szCs w:val="18"/>
                <w:lang w:val="en-US" w:eastAsia="zh-CN"/>
              </w:rPr>
              <w:t>组织开展“多规合一”实用性村庄规划编制回头看，完成17个村的村庄规划编制；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064" w:type="dxa"/>
            <w:vMerge w:val="restart"/>
            <w:tcBorders>
              <w:top w:val="single" w:color="000000" w:sz="2" w:space="0"/>
              <w:bottom w:val="nil"/>
            </w:tcBorders>
            <w:textDirection w:val="tbRlV"/>
            <w:vAlign w:val="top"/>
          </w:tcPr>
          <w:p>
            <w:pPr>
              <w:spacing w:line="351" w:lineRule="auto"/>
              <w:rPr>
                <w:rFonts w:ascii="Arial"/>
                <w:sz w:val="21"/>
              </w:rPr>
            </w:pPr>
          </w:p>
          <w:p>
            <w:pPr>
              <w:spacing w:before="66" w:line="217" w:lineRule="auto"/>
              <w:ind w:left="2477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绩效指标</w:t>
            </w: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left="12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一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级指标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left="111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3"/>
                <w:sz w:val="20"/>
                <w:szCs w:val="20"/>
              </w:rPr>
              <w:t>二</w:t>
            </w:r>
            <w:r>
              <w:rPr>
                <w:rFonts w:ascii="宋体" w:hAnsi="宋体" w:eastAsia="宋体" w:cs="宋体"/>
                <w:spacing w:val="-2"/>
                <w:sz w:val="20"/>
                <w:szCs w:val="20"/>
              </w:rPr>
              <w:t>级指标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left="120"/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  <w:t>三级指标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left="120"/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  <w:t>年度指标值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left="120"/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  <w:t>实际完成值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left="120"/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  <w:t>分值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left="120"/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  <w:t>得分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left="120"/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3"/>
                <w:sz w:val="20"/>
                <w:szCs w:val="20"/>
                <w:lang w:eastAsia="zh-CN"/>
              </w:rPr>
              <w:t>偏差原因分析 及改进措施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84" w:lineRule="auto"/>
              <w:rPr>
                <w:rFonts w:ascii="Arial"/>
                <w:sz w:val="18"/>
                <w:szCs w:val="18"/>
              </w:rPr>
            </w:pPr>
          </w:p>
          <w:p>
            <w:pPr>
              <w:spacing w:line="285" w:lineRule="auto"/>
              <w:rPr>
                <w:rFonts w:ascii="Arial"/>
                <w:sz w:val="18"/>
                <w:szCs w:val="18"/>
              </w:rPr>
            </w:pPr>
          </w:p>
          <w:p>
            <w:pPr>
              <w:spacing w:line="285" w:lineRule="auto"/>
              <w:rPr>
                <w:rFonts w:ascii="Arial"/>
                <w:sz w:val="18"/>
                <w:szCs w:val="18"/>
              </w:rPr>
            </w:pPr>
          </w:p>
          <w:p>
            <w:pPr>
              <w:spacing w:before="65" w:line="247" w:lineRule="auto"/>
              <w:ind w:left="219" w:right="145" w:hanging="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产出指标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50分)</w:t>
            </w:r>
          </w:p>
        </w:tc>
        <w:tc>
          <w:tcPr>
            <w:tcW w:w="1049" w:type="dxa"/>
            <w:vMerge w:val="restart"/>
            <w:tcBorders>
              <w:top w:val="single" w:color="000000" w:sz="2" w:space="0"/>
            </w:tcBorders>
            <w:vAlign w:val="center"/>
          </w:tcPr>
          <w:p>
            <w:pPr>
              <w:spacing w:before="185" w:line="219" w:lineRule="auto"/>
              <w:ind w:left="11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数量指标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“大棚户”疑似问题图斑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11个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11个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vAlign w:val="top"/>
          </w:tcPr>
          <w:p>
            <w:pPr>
              <w:spacing w:before="65" w:line="247" w:lineRule="auto"/>
              <w:ind w:left="219" w:right="145" w:hanging="99"/>
              <w:rPr>
                <w:rFonts w:ascii="宋体" w:hAnsi="宋体" w:eastAsia="宋体" w:cs="宋体"/>
                <w:spacing w:val="-2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vAlign w:val="top"/>
          </w:tcPr>
          <w:p>
            <w:pPr>
              <w:spacing w:before="185" w:line="219" w:lineRule="auto"/>
              <w:ind w:left="111"/>
              <w:rPr>
                <w:rFonts w:ascii="宋体" w:hAnsi="宋体" w:eastAsia="宋体" w:cs="宋体"/>
                <w:spacing w:val="-2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地灾普适化监测仪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5处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5处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vAlign w:val="top"/>
          </w:tcPr>
          <w:p>
            <w:pPr>
              <w:spacing w:before="65" w:line="247" w:lineRule="auto"/>
              <w:ind w:left="219" w:right="145" w:hanging="99"/>
              <w:rPr>
                <w:rFonts w:ascii="宋体" w:hAnsi="宋体" w:eastAsia="宋体" w:cs="宋体"/>
                <w:spacing w:val="-2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vAlign w:val="top"/>
          </w:tcPr>
          <w:p>
            <w:pPr>
              <w:spacing w:before="185" w:line="219" w:lineRule="auto"/>
              <w:ind w:left="111"/>
              <w:rPr>
                <w:rFonts w:ascii="宋体" w:hAnsi="宋体" w:eastAsia="宋体" w:cs="宋体"/>
                <w:spacing w:val="-2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安装地灾警示牌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19个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19个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vAlign w:val="top"/>
          </w:tcPr>
          <w:p>
            <w:pPr>
              <w:spacing w:before="65" w:line="247" w:lineRule="auto"/>
              <w:ind w:left="219" w:right="145" w:hanging="99"/>
              <w:rPr>
                <w:rFonts w:ascii="宋体" w:hAnsi="宋体" w:eastAsia="宋体" w:cs="宋体"/>
                <w:spacing w:val="-2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bottom w:val="single" w:color="000000" w:sz="2" w:space="0"/>
            </w:tcBorders>
            <w:vAlign w:val="top"/>
          </w:tcPr>
          <w:p>
            <w:pPr>
              <w:spacing w:before="185" w:line="219" w:lineRule="auto"/>
              <w:ind w:left="111"/>
              <w:rPr>
                <w:rFonts w:ascii="宋体" w:hAnsi="宋体" w:eastAsia="宋体" w:cs="宋体"/>
                <w:spacing w:val="-2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党建活动次数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≧4次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12次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95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质量指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营商环境再优化率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95%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5" w:line="220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时效指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自然资源动态巡查填报率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3" w:line="219" w:lineRule="auto"/>
              <w:ind w:left="111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成本指标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成本控制额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891.49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112%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restart"/>
            <w:tcBorders>
              <w:top w:val="single" w:color="000000" w:sz="2" w:space="0"/>
              <w:bottom w:val="nil"/>
            </w:tcBorders>
            <w:vAlign w:val="top"/>
          </w:tcPr>
          <w:p>
            <w:pPr>
              <w:spacing w:line="249" w:lineRule="auto"/>
              <w:rPr>
                <w:rFonts w:ascii="Arial"/>
                <w:sz w:val="18"/>
                <w:szCs w:val="18"/>
              </w:rPr>
            </w:pPr>
          </w:p>
          <w:p>
            <w:pPr>
              <w:spacing w:line="249" w:lineRule="auto"/>
              <w:rPr>
                <w:rFonts w:ascii="Arial"/>
                <w:sz w:val="18"/>
                <w:szCs w:val="18"/>
              </w:rPr>
            </w:pPr>
          </w:p>
          <w:p>
            <w:pPr>
              <w:spacing w:line="250" w:lineRule="auto"/>
              <w:rPr>
                <w:rFonts w:ascii="Arial"/>
                <w:sz w:val="18"/>
                <w:szCs w:val="18"/>
              </w:rPr>
            </w:pPr>
          </w:p>
          <w:p>
            <w:pPr>
              <w:spacing w:before="65" w:line="237" w:lineRule="auto"/>
              <w:ind w:left="219" w:right="130" w:hanging="99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效益指</w:t>
            </w:r>
            <w:r>
              <w:rPr>
                <w:rFonts w:ascii="宋体" w:hAnsi="宋体" w:eastAsia="宋体" w:cs="宋体"/>
                <w:spacing w:val="1"/>
                <w:sz w:val="18"/>
                <w:szCs w:val="18"/>
              </w:rPr>
              <w:t>标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30分)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76" w:line="229" w:lineRule="auto"/>
              <w:ind w:left="311" w:right="136" w:hanging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经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济效益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049" w:type="dxa"/>
            <w:vMerge w:val="restart"/>
            <w:tcBorders>
              <w:top w:val="single" w:color="000000" w:sz="2" w:space="0"/>
            </w:tcBorders>
            <w:vAlign w:val="center"/>
          </w:tcPr>
          <w:p>
            <w:pPr>
              <w:spacing w:before="75" w:line="221" w:lineRule="auto"/>
              <w:ind w:left="311" w:right="136" w:hanging="200"/>
              <w:jc w:val="center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社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会效益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社会公平正义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维护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维护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vAlign w:val="top"/>
          </w:tcPr>
          <w:p>
            <w:pPr>
              <w:spacing w:before="75" w:line="221" w:lineRule="auto"/>
              <w:ind w:left="311" w:right="136" w:hanging="200"/>
              <w:rPr>
                <w:rFonts w:ascii="宋体" w:hAnsi="宋体" w:eastAsia="宋体" w:cs="宋体"/>
                <w:spacing w:val="-4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社会稳定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维护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维护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vAlign w:val="top"/>
          </w:tcPr>
          <w:p>
            <w:pPr>
              <w:spacing w:before="75" w:line="221" w:lineRule="auto"/>
              <w:ind w:left="311" w:right="136" w:hanging="200"/>
              <w:rPr>
                <w:rFonts w:ascii="宋体" w:hAnsi="宋体" w:eastAsia="宋体" w:cs="宋体"/>
                <w:spacing w:val="-4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城市竞争力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提高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049" w:type="dxa"/>
            <w:vMerge w:val="continue"/>
            <w:tcBorders>
              <w:bottom w:val="single" w:color="000000" w:sz="2" w:space="0"/>
            </w:tcBorders>
            <w:vAlign w:val="top"/>
          </w:tcPr>
          <w:p>
            <w:pPr>
              <w:spacing w:before="75" w:line="221" w:lineRule="auto"/>
              <w:ind w:left="311" w:right="136" w:hanging="200"/>
              <w:rPr>
                <w:rFonts w:ascii="宋体" w:hAnsi="宋体" w:eastAsia="宋体" w:cs="宋体"/>
                <w:spacing w:val="-4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群众幸福指数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25" w:lineRule="auto"/>
              <w:ind w:left="311" w:right="136" w:hanging="2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生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态效益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06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vMerge w:val="continue"/>
            <w:tcBorders>
              <w:top w:val="nil"/>
              <w:bottom w:val="single" w:color="000000" w:sz="2" w:space="0"/>
            </w:tcBorders>
            <w:vAlign w:val="top"/>
          </w:tcPr>
          <w:p>
            <w:pPr>
              <w:rPr>
                <w:rFonts w:ascii="Arial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87" w:line="229" w:lineRule="auto"/>
              <w:ind w:left="211" w:right="136" w:hanging="10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可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持续影</w:t>
            </w:r>
            <w:r>
              <w:rPr>
                <w:rFonts w:ascii="宋体" w:hAnsi="宋体" w:eastAsia="宋体" w:cs="宋体"/>
                <w:sz w:val="18"/>
                <w:szCs w:val="18"/>
              </w:rPr>
              <w:t xml:space="preserve"> 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响</w:t>
            </w:r>
            <w:r>
              <w:rPr>
                <w:rFonts w:ascii="宋体" w:hAnsi="宋体" w:eastAsia="宋体" w:cs="宋体"/>
                <w:spacing w:val="2"/>
                <w:sz w:val="18"/>
                <w:szCs w:val="18"/>
              </w:rPr>
              <w:t>指标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无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1064" w:type="dxa"/>
            <w:vMerge w:val="continue"/>
            <w:tcBorders>
              <w:top w:val="nil"/>
              <w:bottom w:val="single" w:color="000000" w:sz="2" w:space="0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6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78" w:line="231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满意度</w:t>
            </w:r>
          </w:p>
          <w:p>
            <w:pPr>
              <w:spacing w:line="220" w:lineRule="auto"/>
              <w:ind w:left="32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4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标</w:t>
            </w:r>
          </w:p>
          <w:p>
            <w:pPr>
              <w:spacing w:before="1" w:line="220" w:lineRule="auto"/>
              <w:ind w:left="220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11"/>
                <w:sz w:val="18"/>
                <w:szCs w:val="18"/>
              </w:rPr>
              <w:t>(</w:t>
            </w:r>
            <w:r>
              <w:rPr>
                <w:rFonts w:ascii="宋体" w:hAnsi="宋体" w:eastAsia="宋体" w:cs="宋体"/>
                <w:spacing w:val="8"/>
                <w:sz w:val="18"/>
                <w:szCs w:val="18"/>
              </w:rPr>
              <w:t>10分)</w:t>
            </w:r>
          </w:p>
        </w:tc>
        <w:tc>
          <w:tcPr>
            <w:tcW w:w="104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88" w:line="219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-2"/>
                <w:sz w:val="18"/>
                <w:szCs w:val="18"/>
              </w:rPr>
              <w:t>服务</w:t>
            </w:r>
            <w:r>
              <w:rPr>
                <w:rFonts w:ascii="宋体" w:hAnsi="宋体" w:eastAsia="宋体" w:cs="宋体"/>
                <w:spacing w:val="-1"/>
                <w:sz w:val="18"/>
                <w:szCs w:val="18"/>
              </w:rPr>
              <w:t>对象</w:t>
            </w:r>
          </w:p>
          <w:p>
            <w:pPr>
              <w:spacing w:before="2" w:line="219" w:lineRule="auto"/>
              <w:ind w:left="1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pacing w:val="4"/>
                <w:sz w:val="18"/>
                <w:szCs w:val="18"/>
              </w:rPr>
              <w:t>满</w:t>
            </w:r>
            <w:r>
              <w:rPr>
                <w:rFonts w:ascii="宋体" w:hAnsi="宋体" w:eastAsia="宋体" w:cs="宋体"/>
                <w:spacing w:val="3"/>
                <w:sz w:val="18"/>
                <w:szCs w:val="18"/>
              </w:rPr>
              <w:t>意度指</w:t>
            </w:r>
          </w:p>
          <w:p>
            <w:pPr>
              <w:spacing w:before="3" w:line="220" w:lineRule="auto"/>
              <w:ind w:left="411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ascii="宋体" w:hAnsi="宋体" w:eastAsia="宋体" w:cs="宋体"/>
                <w:sz w:val="18"/>
                <w:szCs w:val="18"/>
              </w:rPr>
              <w:t>标</w:t>
            </w:r>
          </w:p>
        </w:tc>
        <w:tc>
          <w:tcPr>
            <w:tcW w:w="1229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社会公众满意度</w:t>
            </w:r>
          </w:p>
        </w:tc>
        <w:tc>
          <w:tcPr>
            <w:tcW w:w="1288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≧90%</w:t>
            </w:r>
          </w:p>
        </w:tc>
        <w:tc>
          <w:tcPr>
            <w:tcW w:w="124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  <w:t>≧90%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" w:hRule="atLeast"/>
        </w:trPr>
        <w:tc>
          <w:tcPr>
            <w:tcW w:w="6948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  <w:lang w:eastAsia="zh-CN"/>
              </w:rPr>
              <w:t>总分</w:t>
            </w:r>
          </w:p>
        </w:tc>
        <w:tc>
          <w:tcPr>
            <w:tcW w:w="70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1510"/>
              </w:tabs>
              <w:jc w:val="center"/>
              <w:rPr>
                <w:rFonts w:hint="eastAsia" w:ascii="宋体" w:hAnsi="宋体" w:eastAsia="宋体" w:cs="宋体"/>
                <w:spacing w:val="2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859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1510"/>
              </w:tabs>
              <w:jc w:val="center"/>
              <w:rPr>
                <w:rFonts w:hint="default" w:ascii="宋体" w:hAnsi="宋体" w:eastAsia="宋体" w:cs="宋体"/>
                <w:spacing w:val="2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2"/>
                <w:sz w:val="20"/>
                <w:szCs w:val="20"/>
                <w:lang w:val="en-US" w:eastAsia="zh-CN"/>
              </w:rPr>
              <w:t>95</w:t>
            </w:r>
          </w:p>
        </w:tc>
        <w:tc>
          <w:tcPr>
            <w:tcW w:w="1383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tabs>
                <w:tab w:val="left" w:pos="1510"/>
              </w:tabs>
              <w:jc w:val="left"/>
              <w:rPr>
                <w:rFonts w:hint="eastAsia" w:ascii="宋体" w:hAnsi="宋体" w:eastAsia="宋体" w:cs="宋体"/>
                <w:spacing w:val="2"/>
                <w:sz w:val="20"/>
                <w:szCs w:val="20"/>
                <w:lang w:eastAsia="zh-CN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spacing w:line="116" w:lineRule="exact"/>
      </w:pPr>
    </w:p>
    <w:p>
      <w:pPr>
        <w:sectPr>
          <w:pgSz w:w="11900" w:h="16830"/>
          <w:pgMar w:top="720" w:right="720" w:bottom="720" w:left="720" w:header="0" w:footer="0" w:gutter="0"/>
          <w:cols w:equalWidth="0" w:num="1">
            <w:col w:w="9910"/>
          </w:cols>
        </w:sectPr>
      </w:pPr>
    </w:p>
    <w:p>
      <w:pPr>
        <w:spacing w:before="77" w:line="189" w:lineRule="auto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ascii="仿宋" w:hAnsi="仿宋" w:eastAsia="仿宋" w:cs="仿宋"/>
          <w:spacing w:val="-13"/>
          <w:sz w:val="21"/>
          <w:szCs w:val="21"/>
        </w:rPr>
        <w:t>填表人：</w:t>
      </w:r>
      <w:r>
        <w:rPr>
          <w:rFonts w:hint="eastAsia" w:ascii="仿宋" w:hAnsi="仿宋" w:eastAsia="仿宋" w:cs="仿宋"/>
          <w:spacing w:val="-13"/>
          <w:sz w:val="21"/>
          <w:szCs w:val="21"/>
          <w:lang w:eastAsia="zh-CN"/>
        </w:rPr>
        <w:t>王银雪</w:t>
      </w:r>
      <w:r>
        <w:rPr>
          <w:rFonts w:hint="eastAsia" w:ascii="仿宋" w:hAnsi="仿宋" w:eastAsia="仿宋" w:cs="仿宋"/>
          <w:spacing w:val="-13"/>
          <w:sz w:val="21"/>
          <w:szCs w:val="21"/>
          <w:lang w:val="en-US" w:eastAsia="zh-CN"/>
        </w:rPr>
        <w:t xml:space="preserve"> </w:t>
      </w:r>
    </w:p>
    <w:p>
      <w:pPr>
        <w:spacing w:line="14" w:lineRule="auto"/>
        <w:rPr>
          <w:rFonts w:ascii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</w:rPr>
        <w:br w:type="column"/>
      </w:r>
    </w:p>
    <w:p>
      <w:pPr>
        <w:spacing w:before="65" w:line="198" w:lineRule="auto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ascii="仿宋" w:hAnsi="仿宋" w:eastAsia="仿宋" w:cs="仿宋"/>
          <w:spacing w:val="-17"/>
          <w:sz w:val="21"/>
          <w:szCs w:val="21"/>
        </w:rPr>
        <w:t>填报日期</w:t>
      </w:r>
      <w:r>
        <w:rPr>
          <w:rFonts w:hint="eastAsia" w:ascii="仿宋" w:hAnsi="仿宋" w:eastAsia="仿宋" w:cs="仿宋"/>
          <w:spacing w:val="-17"/>
          <w:sz w:val="21"/>
          <w:szCs w:val="21"/>
          <w:lang w:eastAsia="zh-CN"/>
        </w:rPr>
        <w:t>：</w:t>
      </w:r>
      <w:r>
        <w:rPr>
          <w:rFonts w:hint="eastAsia" w:ascii="仿宋" w:hAnsi="仿宋" w:eastAsia="仿宋" w:cs="仿宋"/>
          <w:spacing w:val="-17"/>
          <w:sz w:val="21"/>
          <w:szCs w:val="21"/>
          <w:lang w:val="en-US" w:eastAsia="zh-CN"/>
        </w:rPr>
        <w:t>2022年11月15日</w:t>
      </w:r>
    </w:p>
    <w:p>
      <w:pPr>
        <w:spacing w:line="14" w:lineRule="auto"/>
        <w:rPr>
          <w:rFonts w:ascii="Arial"/>
          <w:sz w:val="21"/>
          <w:szCs w:val="21"/>
        </w:rPr>
      </w:pPr>
      <w:r>
        <w:rPr>
          <w:rFonts w:ascii="Arial" w:hAnsi="Arial" w:eastAsia="Arial" w:cs="Arial"/>
          <w:sz w:val="21"/>
          <w:szCs w:val="21"/>
        </w:rPr>
        <w:br w:type="column"/>
      </w:r>
    </w:p>
    <w:p>
      <w:pPr>
        <w:spacing w:before="46" w:line="213" w:lineRule="auto"/>
        <w:ind w:firstLine="1056" w:firstLineChars="600"/>
        <w:rPr>
          <w:rFonts w:hint="default" w:ascii="仿宋" w:hAnsi="仿宋" w:eastAsia="仿宋" w:cs="仿宋"/>
          <w:sz w:val="21"/>
          <w:szCs w:val="21"/>
          <w:lang w:val="en-US" w:eastAsia="zh-CN"/>
        </w:rPr>
      </w:pPr>
      <w:r>
        <w:rPr>
          <w:rFonts w:ascii="仿宋" w:hAnsi="仿宋" w:eastAsia="仿宋" w:cs="仿宋"/>
          <w:spacing w:val="-17"/>
          <w:sz w:val="21"/>
          <w:szCs w:val="21"/>
        </w:rPr>
        <w:t>联</w:t>
      </w:r>
      <w:r>
        <w:rPr>
          <w:rFonts w:ascii="仿宋" w:hAnsi="仿宋" w:eastAsia="仿宋" w:cs="仿宋"/>
          <w:spacing w:val="-13"/>
          <w:sz w:val="21"/>
          <w:szCs w:val="21"/>
        </w:rPr>
        <w:t>系电话：</w:t>
      </w:r>
      <w:r>
        <w:rPr>
          <w:rFonts w:hint="eastAsia" w:ascii="仿宋" w:hAnsi="仿宋" w:eastAsia="仿宋" w:cs="仿宋"/>
          <w:spacing w:val="-13"/>
          <w:sz w:val="21"/>
          <w:szCs w:val="21"/>
          <w:lang w:val="en-US" w:eastAsia="zh-CN"/>
        </w:rPr>
        <w:t>13713167756</w:t>
      </w:r>
    </w:p>
    <w:p>
      <w:pPr>
        <w:rPr>
          <w:sz w:val="21"/>
          <w:szCs w:val="21"/>
        </w:rPr>
        <w:sectPr>
          <w:type w:val="continuous"/>
          <w:pgSz w:w="11900" w:h="16830"/>
          <w:pgMar w:top="995" w:right="1274" w:bottom="400" w:left="1534" w:header="0" w:footer="0" w:gutter="0"/>
          <w:cols w:equalWidth="0" w:num="3">
            <w:col w:w="2466" w:space="100"/>
            <w:col w:w="2400" w:space="100"/>
            <w:col w:w="4026"/>
          </w:cols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E3N2JlNzgyNDg2MTU5NjUyMmM4YzUyN2U5YzEifQ=="/>
  </w:docVars>
  <w:rsids>
    <w:rsidRoot w:val="7BD836A2"/>
    <w:rsid w:val="15EB7FBE"/>
    <w:rsid w:val="7BD8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879</Words>
  <Characters>1000</Characters>
  <Lines>0</Lines>
  <Paragraphs>0</Paragraphs>
  <TotalTime>0</TotalTime>
  <ScaleCrop>false</ScaleCrop>
  <LinksUpToDate>false</LinksUpToDate>
  <CharactersWithSpaces>1015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2022-11-16T00:26:00Z</dcterms:created>
  <dc:creator>lxdn</dc:creator>
  <cp:lastModifiedBy>lxdn</cp:lastModifiedBy>
  <dcterms:modified xsi:type="dcterms:W3CDTF">2022-11-16T08:28:27Z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77E710F816154ECDA5125B4E0EF131CA</vt:lpwstr>
  </property>
</Properties>
</file>